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2E941" w14:textId="77777777" w:rsidR="00946182" w:rsidRDefault="00946182">
      <w:pPr>
        <w:pBdr>
          <w:bottom w:val="single" w:sz="18" w:space="0" w:color="257DD5"/>
        </w:pBdr>
        <w:spacing w:after="80" w:line="24" w:lineRule="auto"/>
      </w:pPr>
    </w:p>
    <w:p w14:paraId="6BBB4F55" w14:textId="34E0872C" w:rsidR="00946182" w:rsidRDefault="00A570BF" w:rsidP="00F077E5">
      <w:pPr>
        <w:keepNext/>
        <w:keepLines/>
        <w:spacing w:before="60" w:after="140" w:line="230" w:lineRule="auto"/>
        <w:jc w:val="both"/>
      </w:pPr>
      <w:r w:rsidRPr="00A570BF">
        <w:rPr>
          <w:rFonts w:ascii="Liberation Sans Narrow" w:eastAsia="Liberation Sans Narrow" w:hAnsi="Liberation Sans Narrow"/>
          <w:b/>
          <w:color w:val="0B2D5A"/>
          <w:sz w:val="47"/>
        </w:rPr>
        <w:t>COMPARE THE EFFECT OF TRANSCUTANEOUS VAGUS NERVE STIMULATION (TVNS) VERSUS NON-INVASIVE VAGUS NERVE STIMULATION (NVNS) ON PAIN REDUCTION AND QUALITY OF LIFE (QOL) IN MIGRAINE PATIENTS: A RANDOMIZED CONTROL TRIAL</w:t>
      </w:r>
    </w:p>
    <w:p w14:paraId="0BDF5F3A" w14:textId="77777777" w:rsidR="00946182" w:rsidRDefault="00000000">
      <w:pPr>
        <w:spacing w:before="20" w:after="80" w:line="120" w:lineRule="auto"/>
      </w:pPr>
      <w:r>
        <w:rPr>
          <w:noProof/>
        </w:rPr>
        <w:drawing>
          <wp:inline distT="0" distB="0" distL="0" distR="0" wp14:anchorId="06836407" wp14:editId="79A1264C">
            <wp:extent cx="621792" cy="384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ent_line.png"/>
                    <pic:cNvPicPr/>
                  </pic:nvPicPr>
                  <pic:blipFill>
                    <a:blip r:embed="rId8"/>
                    <a:stretch>
                      <a:fillRect/>
                    </a:stretch>
                  </pic:blipFill>
                  <pic:spPr>
                    <a:xfrm>
                      <a:off x="0" y="0"/>
                      <a:ext cx="621792" cy="38404"/>
                    </a:xfrm>
                    <a:prstGeom prst="rect">
                      <a:avLst/>
                    </a:prstGeom>
                  </pic:spPr>
                </pic:pic>
              </a:graphicData>
            </a:graphic>
          </wp:inline>
        </w:drawing>
      </w:r>
    </w:p>
    <w:p w14:paraId="1354E48D" w14:textId="7E2E317D" w:rsidR="00946182" w:rsidRDefault="00A570BF">
      <w:pPr>
        <w:keepNext/>
        <w:keepLines/>
        <w:spacing w:before="140" w:after="80" w:line="252" w:lineRule="auto"/>
      </w:pPr>
      <w:r w:rsidRPr="00A570BF">
        <w:rPr>
          <w:b/>
          <w:color w:val="111111"/>
        </w:rPr>
        <w:t>Khadija Usman</w:t>
      </w:r>
      <w:r w:rsidR="00BC7115" w:rsidRPr="00BC7115">
        <w:rPr>
          <w:b/>
          <w:color w:val="111111"/>
          <w:vertAlign w:val="superscript"/>
        </w:rPr>
        <w:t>1</w:t>
      </w:r>
      <w:r w:rsidRPr="00A570BF">
        <w:rPr>
          <w:b/>
          <w:color w:val="111111"/>
        </w:rPr>
        <w:t>*</w:t>
      </w:r>
      <w:r>
        <w:rPr>
          <w:b/>
          <w:color w:val="111111"/>
        </w:rPr>
        <w:t xml:space="preserve">, </w:t>
      </w:r>
      <w:r w:rsidRPr="00A570BF">
        <w:rPr>
          <w:b/>
          <w:color w:val="111111"/>
        </w:rPr>
        <w:t>Zohaib Rana</w:t>
      </w:r>
      <w:r w:rsidR="00BC7115" w:rsidRPr="00BC7115">
        <w:rPr>
          <w:b/>
          <w:color w:val="111111"/>
          <w:vertAlign w:val="superscript"/>
        </w:rPr>
        <w:t>1</w:t>
      </w:r>
      <w:r>
        <w:rPr>
          <w:b/>
          <w:color w:val="111111"/>
        </w:rPr>
        <w:t xml:space="preserve">, </w:t>
      </w:r>
      <w:proofErr w:type="spellStart"/>
      <w:r w:rsidRPr="00A570BF">
        <w:rPr>
          <w:b/>
          <w:color w:val="111111"/>
        </w:rPr>
        <w:t>Qurba</w:t>
      </w:r>
      <w:proofErr w:type="spellEnd"/>
      <w:r w:rsidRPr="00A570BF">
        <w:rPr>
          <w:b/>
          <w:color w:val="111111"/>
        </w:rPr>
        <w:t xml:space="preserve"> Kiran</w:t>
      </w:r>
      <w:r w:rsidR="00BC7115" w:rsidRPr="00BC7115">
        <w:rPr>
          <w:b/>
          <w:color w:val="111111"/>
          <w:vertAlign w:val="superscript"/>
        </w:rPr>
        <w:t>1</w:t>
      </w:r>
    </w:p>
    <w:p w14:paraId="3AD0BCB4" w14:textId="3E22AE09" w:rsidR="00946182" w:rsidRDefault="00000000">
      <w:pPr>
        <w:keepNext/>
        <w:keepLines/>
        <w:spacing w:before="14" w:after="14" w:line="252" w:lineRule="auto"/>
      </w:pPr>
      <w:r>
        <w:rPr>
          <w:color w:val="111111"/>
          <w:sz w:val="13"/>
          <w:vertAlign w:val="superscript"/>
        </w:rPr>
        <w:t>1</w:t>
      </w:r>
      <w:r w:rsidR="00BC7115" w:rsidRPr="00BC7115">
        <w:rPr>
          <w:color w:val="111111"/>
          <w:sz w:val="16"/>
        </w:rPr>
        <w:t>Department of Rehabilitation Sciences, Faculty of Allied Health Sciences, The Superior University, Lahore, Pakistan</w:t>
      </w:r>
    </w:p>
    <w:p w14:paraId="602D053C" w14:textId="537B522E" w:rsidR="00946182" w:rsidRDefault="00946182">
      <w:pPr>
        <w:keepNext/>
        <w:keepLines/>
        <w:spacing w:before="14" w:after="14" w:line="252" w:lineRule="auto"/>
      </w:pPr>
    </w:p>
    <w:tbl>
      <w:tblPr>
        <w:tblW w:w="0" w:type="auto"/>
        <w:tblLayout w:type="fixed"/>
        <w:tblLook w:val="04A0" w:firstRow="1" w:lastRow="0" w:firstColumn="1" w:lastColumn="0" w:noHBand="0" w:noVBand="1"/>
      </w:tblPr>
      <w:tblGrid>
        <w:gridCol w:w="604"/>
        <w:gridCol w:w="2880"/>
        <w:gridCol w:w="3484"/>
        <w:gridCol w:w="3484"/>
        <w:gridCol w:w="350"/>
      </w:tblGrid>
      <w:tr w:rsidR="00946182" w14:paraId="6242EBC2" w14:textId="77777777" w:rsidTr="005141BF">
        <w:tc>
          <w:tcPr>
            <w:tcW w:w="604" w:type="dxa"/>
            <w:tcBorders>
              <w:top w:val="nil"/>
              <w:left w:val="nil"/>
              <w:bottom w:val="nil"/>
              <w:right w:val="nil"/>
            </w:tcBorders>
            <w:tcMar>
              <w:top w:w="115" w:type="dxa"/>
              <w:left w:w="0" w:type="dxa"/>
              <w:bottom w:w="70" w:type="dxa"/>
              <w:right w:w="35" w:type="dxa"/>
            </w:tcMar>
          </w:tcPr>
          <w:p w14:paraId="3A2EAD6F" w14:textId="77777777" w:rsidR="00946182" w:rsidRDefault="00000000">
            <w:pPr>
              <w:spacing w:line="240" w:lineRule="auto"/>
              <w:jc w:val="center"/>
            </w:pPr>
            <w:r>
              <w:rPr>
                <w:noProof/>
              </w:rPr>
              <w:drawing>
                <wp:inline distT="0" distB="0" distL="0" distR="0" wp14:anchorId="364735EF" wp14:editId="64ECE345">
                  <wp:extent cx="310896" cy="3108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png"/>
                          <pic:cNvPicPr/>
                        </pic:nvPicPr>
                        <pic:blipFill>
                          <a:blip r:embed="rId9"/>
                          <a:stretch>
                            <a:fillRect/>
                          </a:stretch>
                        </pic:blipFill>
                        <pic:spPr>
                          <a:xfrm>
                            <a:off x="0" y="0"/>
                            <a:ext cx="310896" cy="310896"/>
                          </a:xfrm>
                          <a:prstGeom prst="rect">
                            <a:avLst/>
                          </a:prstGeom>
                        </pic:spPr>
                      </pic:pic>
                    </a:graphicData>
                  </a:graphic>
                </wp:inline>
              </w:drawing>
            </w:r>
          </w:p>
        </w:tc>
        <w:tc>
          <w:tcPr>
            <w:tcW w:w="10108" w:type="dxa"/>
            <w:gridSpan w:val="4"/>
            <w:tcBorders>
              <w:top w:val="nil"/>
              <w:left w:val="nil"/>
              <w:bottom w:val="nil"/>
              <w:right w:val="nil"/>
            </w:tcBorders>
            <w:tcMar>
              <w:top w:w="115" w:type="dxa"/>
              <w:left w:w="0" w:type="dxa"/>
              <w:bottom w:w="70" w:type="dxa"/>
              <w:right w:w="0" w:type="dxa"/>
            </w:tcMar>
          </w:tcPr>
          <w:p w14:paraId="2BC03E9D" w14:textId="38FFC1D5" w:rsidR="00946182" w:rsidRDefault="00000000" w:rsidP="003843FC">
            <w:pPr>
              <w:spacing w:line="235" w:lineRule="auto"/>
            </w:pPr>
            <w:r>
              <w:rPr>
                <w:b/>
                <w:color w:val="006A39"/>
                <w:sz w:val="17"/>
              </w:rPr>
              <w:t xml:space="preserve">*Corresponding Author:  </w:t>
            </w:r>
            <w:r w:rsidR="003843FC" w:rsidRPr="003843FC">
              <w:rPr>
                <w:color w:val="111111"/>
                <w:sz w:val="16"/>
              </w:rPr>
              <w:t>Khadija Usman</w:t>
            </w:r>
            <w:r w:rsidR="003843FC">
              <w:rPr>
                <w:color w:val="111111"/>
                <w:sz w:val="16"/>
              </w:rPr>
              <w:t xml:space="preserve">, </w:t>
            </w:r>
            <w:r w:rsidR="003843FC" w:rsidRPr="003843FC">
              <w:rPr>
                <w:color w:val="111111"/>
                <w:sz w:val="16"/>
              </w:rPr>
              <w:t>Department of Rehabilitation Sciences, Faculty of Allied Health Sciences, The Superior University, Lahore, Pakistan</w:t>
            </w:r>
          </w:p>
          <w:p w14:paraId="092EC4DC" w14:textId="63AD59F6" w:rsidR="00946182" w:rsidRDefault="00946182">
            <w:pPr>
              <w:spacing w:line="235" w:lineRule="auto"/>
            </w:pPr>
          </w:p>
        </w:tc>
      </w:tr>
      <w:tr w:rsidR="00946182" w14:paraId="75D92EA5" w14:textId="77777777" w:rsidTr="005141BF">
        <w:trPr>
          <w:gridAfter w:val="1"/>
          <w:wAfter w:w="350" w:type="dxa"/>
        </w:trPr>
        <w:tc>
          <w:tcPr>
            <w:tcW w:w="3484" w:type="dxa"/>
            <w:gridSpan w:val="2"/>
            <w:tcBorders>
              <w:top w:val="single" w:sz="8" w:space="0" w:color="D5DEE8"/>
              <w:left w:val="single" w:sz="8" w:space="0" w:color="D5DEE8"/>
              <w:bottom w:val="single" w:sz="8" w:space="0" w:color="D5DEE8"/>
              <w:right w:val="single" w:sz="8" w:space="0" w:color="D5DEE8"/>
            </w:tcBorders>
            <w:shd w:val="clear" w:color="auto" w:fill="FAFCFE"/>
            <w:tcMar>
              <w:top w:w="135" w:type="dxa"/>
              <w:left w:w="90" w:type="dxa"/>
              <w:bottom w:w="135" w:type="dxa"/>
              <w:right w:w="90" w:type="dxa"/>
            </w:tcMar>
          </w:tcPr>
          <w:p w14:paraId="3C5B6863" w14:textId="77777777" w:rsidR="00946182" w:rsidRDefault="00946182">
            <w:pPr>
              <w:spacing w:line="24" w:lineRule="auto"/>
            </w:pPr>
          </w:p>
          <w:tbl>
            <w:tblPr>
              <w:tblW w:w="0" w:type="auto"/>
              <w:tblLayout w:type="fixed"/>
              <w:tblLook w:val="04A0" w:firstRow="1" w:lastRow="0" w:firstColumn="1" w:lastColumn="0" w:noHBand="0" w:noVBand="1"/>
            </w:tblPr>
            <w:tblGrid>
              <w:gridCol w:w="691"/>
              <w:gridCol w:w="2476"/>
            </w:tblGrid>
            <w:tr w:rsidR="00946182" w14:paraId="5890CDFF" w14:textId="77777777">
              <w:tc>
                <w:tcPr>
                  <w:tcW w:w="691" w:type="dxa"/>
                  <w:tcBorders>
                    <w:top w:val="nil"/>
                    <w:left w:val="nil"/>
                    <w:bottom w:val="nil"/>
                    <w:right w:val="nil"/>
                  </w:tcBorders>
                  <w:tcMar>
                    <w:top w:w="0" w:type="dxa"/>
                    <w:left w:w="0" w:type="dxa"/>
                    <w:bottom w:w="0" w:type="dxa"/>
                    <w:right w:w="30" w:type="dxa"/>
                  </w:tcMar>
                </w:tcPr>
                <w:p w14:paraId="19C081EC" w14:textId="77777777" w:rsidR="00946182" w:rsidRDefault="00000000">
                  <w:r>
                    <w:rPr>
                      <w:noProof/>
                    </w:rPr>
                    <w:drawing>
                      <wp:inline distT="0" distB="0" distL="0" distR="0" wp14:anchorId="6ED7B8E9" wp14:editId="64DDC398">
                        <wp:extent cx="347472" cy="3474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i.png"/>
                                <pic:cNvPicPr/>
                              </pic:nvPicPr>
                              <pic:blipFill>
                                <a:blip r:embed="rId10"/>
                                <a:stretch>
                                  <a:fillRect/>
                                </a:stretch>
                              </pic:blipFill>
                              <pic:spPr>
                                <a:xfrm>
                                  <a:off x="0" y="0"/>
                                  <a:ext cx="347472" cy="347472"/>
                                </a:xfrm>
                                <a:prstGeom prst="rect">
                                  <a:avLst/>
                                </a:prstGeom>
                              </pic:spPr>
                            </pic:pic>
                          </a:graphicData>
                        </a:graphic>
                      </wp:inline>
                    </w:drawing>
                  </w:r>
                </w:p>
              </w:tc>
              <w:tc>
                <w:tcPr>
                  <w:tcW w:w="2476" w:type="dxa"/>
                  <w:tcBorders>
                    <w:top w:val="nil"/>
                    <w:left w:val="nil"/>
                    <w:bottom w:val="nil"/>
                    <w:right w:val="nil"/>
                  </w:tcBorders>
                  <w:tcMar>
                    <w:top w:w="0" w:type="dxa"/>
                    <w:left w:w="0" w:type="dxa"/>
                    <w:bottom w:w="0" w:type="dxa"/>
                    <w:right w:w="0" w:type="dxa"/>
                  </w:tcMar>
                </w:tcPr>
                <w:p w14:paraId="0944FA0D" w14:textId="77777777" w:rsidR="00946182" w:rsidRDefault="00000000">
                  <w:pPr>
                    <w:spacing w:after="40" w:line="228" w:lineRule="auto"/>
                  </w:pPr>
                  <w:r>
                    <w:rPr>
                      <w:b/>
                      <w:color w:val="257DD5"/>
                      <w:sz w:val="16"/>
                    </w:rPr>
                    <w:t>CONFLICT OF INTEREST</w:t>
                  </w:r>
                </w:p>
                <w:p w14:paraId="36398ADB" w14:textId="77777777" w:rsidR="00946182" w:rsidRDefault="00000000">
                  <w:pPr>
                    <w:spacing w:line="228" w:lineRule="auto"/>
                  </w:pPr>
                  <w:r>
                    <w:rPr>
                      <w:color w:val="111111"/>
                      <w:sz w:val="16"/>
                    </w:rPr>
                    <w:t>None declared.</w:t>
                  </w:r>
                </w:p>
              </w:tc>
            </w:tr>
          </w:tbl>
          <w:p w14:paraId="463B92B1" w14:textId="77777777" w:rsidR="00946182" w:rsidRDefault="00946182"/>
        </w:tc>
        <w:tc>
          <w:tcPr>
            <w:tcW w:w="3484" w:type="dxa"/>
            <w:tcBorders>
              <w:top w:val="single" w:sz="8" w:space="0" w:color="D5DEE8"/>
              <w:left w:val="single" w:sz="8" w:space="0" w:color="D5DEE8"/>
              <w:bottom w:val="single" w:sz="8" w:space="0" w:color="D5DEE8"/>
              <w:right w:val="single" w:sz="8" w:space="0" w:color="D5DEE8"/>
            </w:tcBorders>
            <w:shd w:val="clear" w:color="auto" w:fill="FAFCFE"/>
            <w:tcMar>
              <w:top w:w="135" w:type="dxa"/>
              <w:left w:w="90" w:type="dxa"/>
              <w:bottom w:w="135" w:type="dxa"/>
              <w:right w:w="90" w:type="dxa"/>
            </w:tcMar>
          </w:tcPr>
          <w:p w14:paraId="76776F15" w14:textId="77777777" w:rsidR="00946182" w:rsidRDefault="00946182">
            <w:pPr>
              <w:spacing w:line="24" w:lineRule="auto"/>
            </w:pPr>
          </w:p>
          <w:tbl>
            <w:tblPr>
              <w:tblW w:w="0" w:type="auto"/>
              <w:tblLayout w:type="fixed"/>
              <w:tblLook w:val="04A0" w:firstRow="1" w:lastRow="0" w:firstColumn="1" w:lastColumn="0" w:noHBand="0" w:noVBand="1"/>
            </w:tblPr>
            <w:tblGrid>
              <w:gridCol w:w="691"/>
              <w:gridCol w:w="2476"/>
            </w:tblGrid>
            <w:tr w:rsidR="00946182" w14:paraId="4F7DF871" w14:textId="77777777">
              <w:tc>
                <w:tcPr>
                  <w:tcW w:w="691" w:type="dxa"/>
                  <w:tcBorders>
                    <w:top w:val="nil"/>
                    <w:left w:val="nil"/>
                    <w:bottom w:val="nil"/>
                    <w:right w:val="nil"/>
                  </w:tcBorders>
                  <w:tcMar>
                    <w:top w:w="0" w:type="dxa"/>
                    <w:left w:w="0" w:type="dxa"/>
                    <w:bottom w:w="0" w:type="dxa"/>
                    <w:right w:w="30" w:type="dxa"/>
                  </w:tcMar>
                </w:tcPr>
                <w:p w14:paraId="5EED7037" w14:textId="77777777" w:rsidR="00946182" w:rsidRDefault="00000000">
                  <w:r>
                    <w:rPr>
                      <w:noProof/>
                    </w:rPr>
                    <w:drawing>
                      <wp:inline distT="0" distB="0" distL="0" distR="0" wp14:anchorId="2AA58F4A" wp14:editId="2C76C108">
                        <wp:extent cx="347472" cy="3474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t.png"/>
                                <pic:cNvPicPr/>
                              </pic:nvPicPr>
                              <pic:blipFill>
                                <a:blip r:embed="rId11"/>
                                <a:stretch>
                                  <a:fillRect/>
                                </a:stretch>
                              </pic:blipFill>
                              <pic:spPr>
                                <a:xfrm>
                                  <a:off x="0" y="0"/>
                                  <a:ext cx="347472" cy="347472"/>
                                </a:xfrm>
                                <a:prstGeom prst="rect">
                                  <a:avLst/>
                                </a:prstGeom>
                              </pic:spPr>
                            </pic:pic>
                          </a:graphicData>
                        </a:graphic>
                      </wp:inline>
                    </w:drawing>
                  </w:r>
                </w:p>
              </w:tc>
              <w:tc>
                <w:tcPr>
                  <w:tcW w:w="2476" w:type="dxa"/>
                  <w:tcBorders>
                    <w:top w:val="nil"/>
                    <w:left w:val="nil"/>
                    <w:bottom w:val="nil"/>
                    <w:right w:val="nil"/>
                  </w:tcBorders>
                  <w:tcMar>
                    <w:top w:w="0" w:type="dxa"/>
                    <w:left w:w="0" w:type="dxa"/>
                    <w:bottom w:w="0" w:type="dxa"/>
                    <w:right w:w="0" w:type="dxa"/>
                  </w:tcMar>
                </w:tcPr>
                <w:p w14:paraId="55F6C3EC" w14:textId="77777777" w:rsidR="00946182" w:rsidRDefault="00000000">
                  <w:pPr>
                    <w:spacing w:after="40" w:line="228" w:lineRule="auto"/>
                  </w:pPr>
                  <w:r>
                    <w:rPr>
                      <w:b/>
                      <w:color w:val="006A39"/>
                      <w:sz w:val="16"/>
                    </w:rPr>
                    <w:t>GRANT SUPPORT</w:t>
                  </w:r>
                </w:p>
                <w:p w14:paraId="76C71BAF" w14:textId="77777777" w:rsidR="00946182" w:rsidRDefault="00000000">
                  <w:pPr>
                    <w:spacing w:line="228" w:lineRule="auto"/>
                  </w:pPr>
                  <w:r>
                    <w:rPr>
                      <w:color w:val="111111"/>
                      <w:sz w:val="16"/>
                    </w:rPr>
                    <w:t>None declared.</w:t>
                  </w:r>
                </w:p>
              </w:tc>
            </w:tr>
          </w:tbl>
          <w:p w14:paraId="2EB0E83C" w14:textId="77777777" w:rsidR="00946182" w:rsidRDefault="00946182"/>
        </w:tc>
        <w:tc>
          <w:tcPr>
            <w:tcW w:w="3484" w:type="dxa"/>
            <w:tcBorders>
              <w:top w:val="single" w:sz="8" w:space="0" w:color="D5DEE8"/>
              <w:left w:val="single" w:sz="8" w:space="0" w:color="D5DEE8"/>
              <w:bottom w:val="single" w:sz="8" w:space="0" w:color="D5DEE8"/>
              <w:right w:val="single" w:sz="8" w:space="0" w:color="D5DEE8"/>
            </w:tcBorders>
            <w:shd w:val="clear" w:color="auto" w:fill="FAFCFE"/>
            <w:tcMar>
              <w:top w:w="135" w:type="dxa"/>
              <w:left w:w="90" w:type="dxa"/>
              <w:bottom w:w="135" w:type="dxa"/>
              <w:right w:w="90" w:type="dxa"/>
            </w:tcMar>
          </w:tcPr>
          <w:p w14:paraId="53CA0FD3" w14:textId="77777777" w:rsidR="00946182" w:rsidRDefault="00946182">
            <w:pPr>
              <w:spacing w:line="24" w:lineRule="auto"/>
            </w:pPr>
          </w:p>
          <w:tbl>
            <w:tblPr>
              <w:tblW w:w="0" w:type="auto"/>
              <w:tblLayout w:type="fixed"/>
              <w:tblLook w:val="04A0" w:firstRow="1" w:lastRow="0" w:firstColumn="1" w:lastColumn="0" w:noHBand="0" w:noVBand="1"/>
            </w:tblPr>
            <w:tblGrid>
              <w:gridCol w:w="691"/>
              <w:gridCol w:w="2476"/>
            </w:tblGrid>
            <w:tr w:rsidR="00946182" w14:paraId="726134E9" w14:textId="77777777">
              <w:tc>
                <w:tcPr>
                  <w:tcW w:w="691" w:type="dxa"/>
                  <w:tcBorders>
                    <w:top w:val="nil"/>
                    <w:left w:val="nil"/>
                    <w:bottom w:val="nil"/>
                    <w:right w:val="nil"/>
                  </w:tcBorders>
                  <w:tcMar>
                    <w:top w:w="0" w:type="dxa"/>
                    <w:left w:w="0" w:type="dxa"/>
                    <w:bottom w:w="0" w:type="dxa"/>
                    <w:right w:w="30" w:type="dxa"/>
                  </w:tcMar>
                </w:tcPr>
                <w:p w14:paraId="09CDFD2E" w14:textId="77777777" w:rsidR="00946182" w:rsidRDefault="00000000">
                  <w:r>
                    <w:rPr>
                      <w:noProof/>
                    </w:rPr>
                    <w:drawing>
                      <wp:inline distT="0" distB="0" distL="0" distR="0" wp14:anchorId="62D81DC1" wp14:editId="17FA6AC1">
                        <wp:extent cx="347472" cy="3474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pe.png"/>
                                <pic:cNvPicPr/>
                              </pic:nvPicPr>
                              <pic:blipFill>
                                <a:blip r:embed="rId12"/>
                                <a:stretch>
                                  <a:fillRect/>
                                </a:stretch>
                              </pic:blipFill>
                              <pic:spPr>
                                <a:xfrm>
                                  <a:off x="0" y="0"/>
                                  <a:ext cx="347472" cy="347472"/>
                                </a:xfrm>
                                <a:prstGeom prst="rect">
                                  <a:avLst/>
                                </a:prstGeom>
                              </pic:spPr>
                            </pic:pic>
                          </a:graphicData>
                        </a:graphic>
                      </wp:inline>
                    </w:drawing>
                  </w:r>
                </w:p>
              </w:tc>
              <w:tc>
                <w:tcPr>
                  <w:tcW w:w="2476" w:type="dxa"/>
                  <w:tcBorders>
                    <w:top w:val="nil"/>
                    <w:left w:val="nil"/>
                    <w:bottom w:val="nil"/>
                    <w:right w:val="nil"/>
                  </w:tcBorders>
                  <w:tcMar>
                    <w:top w:w="0" w:type="dxa"/>
                    <w:left w:w="0" w:type="dxa"/>
                    <w:bottom w:w="0" w:type="dxa"/>
                    <w:right w:w="0" w:type="dxa"/>
                  </w:tcMar>
                </w:tcPr>
                <w:p w14:paraId="3E7673ED" w14:textId="77777777" w:rsidR="00946182" w:rsidRDefault="00000000">
                  <w:pPr>
                    <w:spacing w:after="40" w:line="228" w:lineRule="auto"/>
                  </w:pPr>
                  <w:r>
                    <w:rPr>
                      <w:b/>
                      <w:color w:val="257DD5"/>
                      <w:sz w:val="16"/>
                    </w:rPr>
                    <w:t>ARTICLE TYPE</w:t>
                  </w:r>
                </w:p>
                <w:p w14:paraId="614A1700" w14:textId="77777777" w:rsidR="00946182" w:rsidRDefault="00000000">
                  <w:pPr>
                    <w:spacing w:line="228" w:lineRule="auto"/>
                  </w:pPr>
                  <w:r>
                    <w:rPr>
                      <w:color w:val="111111"/>
                      <w:sz w:val="16"/>
                    </w:rPr>
                    <w:t>Original Research</w:t>
                  </w:r>
                </w:p>
              </w:tc>
            </w:tr>
          </w:tbl>
          <w:p w14:paraId="1637CDA7" w14:textId="77777777" w:rsidR="00946182" w:rsidRDefault="00946182"/>
        </w:tc>
      </w:tr>
    </w:tbl>
    <w:p w14:paraId="27DF6BE0" w14:textId="77777777" w:rsidR="00946182" w:rsidRDefault="00946182">
      <w:pPr>
        <w:spacing w:line="60" w:lineRule="auto"/>
      </w:pPr>
    </w:p>
    <w:tbl>
      <w:tblPr>
        <w:tblW w:w="0" w:type="auto"/>
        <w:jc w:val="center"/>
        <w:tblLayout w:type="fixed"/>
        <w:tblLook w:val="04A0" w:firstRow="1" w:lastRow="0" w:firstColumn="1" w:lastColumn="0" w:noHBand="0" w:noVBand="1"/>
      </w:tblPr>
      <w:tblGrid>
        <w:gridCol w:w="2088"/>
        <w:gridCol w:w="8611"/>
        <w:gridCol w:w="50"/>
      </w:tblGrid>
      <w:tr w:rsidR="00946182" w14:paraId="439E853A" w14:textId="77777777">
        <w:trPr>
          <w:gridAfter w:val="1"/>
          <w:wAfter w:w="50" w:type="dxa"/>
          <w:jc w:val="center"/>
        </w:trPr>
        <w:tc>
          <w:tcPr>
            <w:tcW w:w="10699" w:type="dxa"/>
            <w:gridSpan w:val="2"/>
            <w:tcBorders>
              <w:top w:val="single" w:sz="9" w:space="0" w:color="79B98B"/>
              <w:left w:val="single" w:sz="9" w:space="0" w:color="79B98B"/>
              <w:bottom w:val="single" w:sz="9" w:space="0" w:color="79B98B"/>
              <w:right w:val="single" w:sz="9" w:space="0" w:color="79B98B"/>
            </w:tcBorders>
            <w:shd w:val="clear" w:color="auto" w:fill="F6FBF7"/>
            <w:tcMar>
              <w:top w:w="145" w:type="dxa"/>
              <w:left w:w="130" w:type="dxa"/>
              <w:bottom w:w="145" w:type="dxa"/>
              <w:right w:w="130" w:type="dxa"/>
            </w:tcMar>
          </w:tcPr>
          <w:p w14:paraId="413A34A3" w14:textId="77777777" w:rsidR="00946182" w:rsidRDefault="00000000">
            <w:pPr>
              <w:spacing w:after="120" w:line="240" w:lineRule="auto"/>
            </w:pPr>
            <w:r>
              <w:rPr>
                <w:noProof/>
              </w:rPr>
              <w:drawing>
                <wp:inline distT="0" distB="0" distL="0" distR="0" wp14:anchorId="7CDE2854" wp14:editId="71BE23E3">
                  <wp:extent cx="310896" cy="3108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tract.png"/>
                          <pic:cNvPicPr/>
                        </pic:nvPicPr>
                        <pic:blipFill>
                          <a:blip r:embed="rId13"/>
                          <a:stretch>
                            <a:fillRect/>
                          </a:stretch>
                        </pic:blipFill>
                        <pic:spPr>
                          <a:xfrm>
                            <a:off x="0" y="0"/>
                            <a:ext cx="310896" cy="310896"/>
                          </a:xfrm>
                          <a:prstGeom prst="rect">
                            <a:avLst/>
                          </a:prstGeom>
                        </pic:spPr>
                      </pic:pic>
                    </a:graphicData>
                  </a:graphic>
                </wp:inline>
              </w:drawing>
            </w:r>
            <w:r>
              <w:rPr>
                <w:rFonts w:ascii="Georgia" w:eastAsia="Georgia" w:hAnsi="Georgia"/>
                <w:color w:val="006A39"/>
                <w:sz w:val="26"/>
              </w:rPr>
              <w:t xml:space="preserve">   ABSTRACT</w:t>
            </w:r>
          </w:p>
          <w:p w14:paraId="3600A579" w14:textId="77777777" w:rsidR="0012453A" w:rsidRPr="00EC3AAB" w:rsidRDefault="0012453A" w:rsidP="0012453A">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Background: Migraine is a severe, debilitating neurological disorder commonly known for its recurring episodes of head pain. It usually affects daily functioning and mental well-being. Universally, migraine is considered as one of the chief causes of disability especially among the population under the age of 50 year, with prominent social, financial, and personal outcomes. </w:t>
            </w:r>
          </w:p>
          <w:p w14:paraId="51D8E5FA" w14:textId="77777777" w:rsidR="0012453A" w:rsidRPr="00EC3AAB" w:rsidRDefault="0012453A" w:rsidP="0012453A">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Objective: To assess the comparative effectiveness of transcutaneous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versus non-invasive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on pain and quality of life (QOL) in patients of migraine without aura.</w:t>
            </w:r>
          </w:p>
          <w:p w14:paraId="08FB8B8E" w14:textId="77777777" w:rsidR="0012453A" w:rsidRPr="00EC3AAB" w:rsidRDefault="0012453A" w:rsidP="0012453A">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Methodology: </w:t>
            </w:r>
            <w:r w:rsidRPr="00EC3AAB">
              <w:rPr>
                <w:rFonts w:asciiTheme="majorBidi" w:hAnsiTheme="majorBidi" w:cstheme="majorBidi"/>
                <w:sz w:val="22"/>
                <w:szCs w:val="20"/>
                <w:lang w:eastAsia="zh-CN"/>
              </w:rPr>
              <w:t xml:space="preserve">A randomized controlled trial included 28 patients divided into two groups: </w:t>
            </w:r>
            <w:proofErr w:type="spellStart"/>
            <w:r w:rsidRPr="00EC3AAB">
              <w:rPr>
                <w:rFonts w:asciiTheme="majorBidi" w:hAnsiTheme="majorBidi" w:cstheme="majorBidi"/>
                <w:sz w:val="22"/>
                <w:szCs w:val="20"/>
                <w:lang w:eastAsia="zh-CN"/>
              </w:rPr>
              <w:t>tVNS</w:t>
            </w:r>
            <w:proofErr w:type="spellEnd"/>
            <w:r w:rsidRPr="00EC3AAB">
              <w:rPr>
                <w:rFonts w:asciiTheme="majorBidi" w:hAnsiTheme="majorBidi" w:cstheme="majorBidi"/>
                <w:sz w:val="22"/>
                <w:szCs w:val="20"/>
                <w:lang w:eastAsia="zh-CN"/>
              </w:rPr>
              <w:t xml:space="preserve"> (auricular branch via TENS) and </w:t>
            </w:r>
            <w:proofErr w:type="spellStart"/>
            <w:r w:rsidRPr="00EC3AAB">
              <w:rPr>
                <w:rFonts w:asciiTheme="majorBidi" w:hAnsiTheme="majorBidi" w:cstheme="majorBidi"/>
                <w:sz w:val="22"/>
                <w:szCs w:val="20"/>
                <w:lang w:eastAsia="zh-CN"/>
              </w:rPr>
              <w:t>nVNS</w:t>
            </w:r>
            <w:proofErr w:type="spellEnd"/>
            <w:r w:rsidRPr="00EC3AAB">
              <w:rPr>
                <w:rFonts w:asciiTheme="majorBidi" w:hAnsiTheme="majorBidi" w:cstheme="majorBidi"/>
                <w:sz w:val="22"/>
                <w:szCs w:val="20"/>
                <w:lang w:eastAsia="zh-CN"/>
              </w:rPr>
              <w:t xml:space="preserve"> (cervical via VNS device). Pain intensity was quantified using the Visual Analogue Scale (VAS), while headache-related disability and influence on daily life were measured using the Migraine Disability Assessment (MIDAS) and Headache influence Test (HIT-6), respectively. Using SPSS version 25, the Wilcoxon Signed-Rank test was used for within-group comparisons and the Mann-Whitney U test for between-group differences when comparing scores before and after treatment.</w:t>
            </w:r>
          </w:p>
          <w:p w14:paraId="352570FF" w14:textId="77777777" w:rsidR="0012453A" w:rsidRPr="00EC3AAB" w:rsidRDefault="0012453A" w:rsidP="0012453A">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Results: </w:t>
            </w:r>
            <w:r w:rsidRPr="00EC3AAB">
              <w:rPr>
                <w:rFonts w:asciiTheme="majorBidi" w:hAnsiTheme="majorBidi" w:cstheme="majorBidi"/>
                <w:sz w:val="22"/>
                <w:szCs w:val="20"/>
                <w:lang w:eastAsia="zh-CN"/>
              </w:rPr>
              <w:t xml:space="preserve">Both groups experienced significant improvements in all three outcomes after intervention (VAS, HIT-6, and MIDAS; p&lt;0.001).  The </w:t>
            </w:r>
            <w:proofErr w:type="spellStart"/>
            <w:r w:rsidRPr="00EC3AAB">
              <w:rPr>
                <w:rFonts w:asciiTheme="majorBidi" w:hAnsiTheme="majorBidi" w:cstheme="majorBidi"/>
                <w:sz w:val="22"/>
                <w:szCs w:val="20"/>
                <w:lang w:eastAsia="zh-CN"/>
              </w:rPr>
              <w:t>tVNS</w:t>
            </w:r>
            <w:proofErr w:type="spellEnd"/>
            <w:r w:rsidRPr="00EC3AAB">
              <w:rPr>
                <w:rFonts w:asciiTheme="majorBidi" w:hAnsiTheme="majorBidi" w:cstheme="majorBidi"/>
                <w:sz w:val="22"/>
                <w:szCs w:val="20"/>
                <w:lang w:eastAsia="zh-CN"/>
              </w:rPr>
              <w:t xml:space="preserve"> group had a higher reduction in VAS (median pre=8.00, post=5.00, p&lt;0.001) and HIT-6 scores (pre=61.50, post=51.00, p&lt;0.001) than the </w:t>
            </w:r>
            <w:proofErr w:type="spellStart"/>
            <w:r w:rsidRPr="00EC3AAB">
              <w:rPr>
                <w:rFonts w:asciiTheme="majorBidi" w:hAnsiTheme="majorBidi" w:cstheme="majorBidi"/>
                <w:sz w:val="22"/>
                <w:szCs w:val="20"/>
                <w:lang w:eastAsia="zh-CN"/>
              </w:rPr>
              <w:t>nVNS</w:t>
            </w:r>
            <w:proofErr w:type="spellEnd"/>
            <w:r w:rsidRPr="00EC3AAB">
              <w:rPr>
                <w:rFonts w:asciiTheme="majorBidi" w:hAnsiTheme="majorBidi" w:cstheme="majorBidi"/>
                <w:sz w:val="22"/>
                <w:szCs w:val="20"/>
                <w:lang w:eastAsia="zh-CN"/>
              </w:rPr>
              <w:t xml:space="preserve"> group (VAS post=7.00, p&lt;0.01; HIT-6 post=55.50, p&lt;0.001).  A between-group study indicated significant improvement in VAS (p=0.050) and HIT-6 (p=0.030), with the </w:t>
            </w:r>
            <w:proofErr w:type="spellStart"/>
            <w:r w:rsidRPr="00EC3AAB">
              <w:rPr>
                <w:rFonts w:asciiTheme="majorBidi" w:hAnsiTheme="majorBidi" w:cstheme="majorBidi"/>
                <w:sz w:val="22"/>
                <w:szCs w:val="20"/>
                <w:lang w:eastAsia="zh-CN"/>
              </w:rPr>
              <w:t>tVNS</w:t>
            </w:r>
            <w:proofErr w:type="spellEnd"/>
            <w:r w:rsidRPr="00EC3AAB">
              <w:rPr>
                <w:rFonts w:asciiTheme="majorBidi" w:hAnsiTheme="majorBidi" w:cstheme="majorBidi"/>
                <w:sz w:val="22"/>
                <w:szCs w:val="20"/>
                <w:lang w:eastAsia="zh-CN"/>
              </w:rPr>
              <w:t xml:space="preserve"> group outperforming. However, no significant change was seen in MIDAS (p=0.140).</w:t>
            </w:r>
          </w:p>
          <w:p w14:paraId="727312A0" w14:textId="786CB921" w:rsidR="00946182" w:rsidRDefault="0012453A" w:rsidP="0012453A">
            <w:pPr>
              <w:spacing w:before="50" w:after="84" w:line="295" w:lineRule="auto"/>
            </w:pPr>
            <w:r w:rsidRPr="00EC3AAB">
              <w:rPr>
                <w:rFonts w:asciiTheme="majorBidi" w:hAnsiTheme="majorBidi" w:cstheme="majorBidi"/>
                <w:sz w:val="22"/>
                <w:szCs w:val="20"/>
              </w:rPr>
              <w:t xml:space="preserve">Conclusion: </w:t>
            </w:r>
            <w:r w:rsidRPr="00EC3AAB">
              <w:rPr>
                <w:rFonts w:asciiTheme="majorBidi" w:hAnsiTheme="majorBidi" w:cstheme="majorBidi"/>
                <w:sz w:val="22"/>
                <w:szCs w:val="20"/>
                <w:lang w:eastAsia="zh-CN"/>
              </w:rPr>
              <w:t xml:space="preserve">Both </w:t>
            </w:r>
            <w:proofErr w:type="spellStart"/>
            <w:r w:rsidRPr="00EC3AAB">
              <w:rPr>
                <w:rFonts w:asciiTheme="majorBidi" w:hAnsiTheme="majorBidi" w:cstheme="majorBidi"/>
                <w:sz w:val="22"/>
                <w:szCs w:val="20"/>
                <w:lang w:eastAsia="zh-CN"/>
              </w:rPr>
              <w:t>tVNS</w:t>
            </w:r>
            <w:proofErr w:type="spellEnd"/>
            <w:r w:rsidRPr="00EC3AAB">
              <w:rPr>
                <w:rFonts w:asciiTheme="majorBidi" w:hAnsiTheme="majorBidi" w:cstheme="majorBidi"/>
                <w:sz w:val="22"/>
                <w:szCs w:val="20"/>
                <w:lang w:eastAsia="zh-CN"/>
              </w:rPr>
              <w:t xml:space="preserve"> and </w:t>
            </w:r>
            <w:proofErr w:type="spellStart"/>
            <w:r w:rsidRPr="00EC3AAB">
              <w:rPr>
                <w:rFonts w:asciiTheme="majorBidi" w:hAnsiTheme="majorBidi" w:cstheme="majorBidi"/>
                <w:sz w:val="22"/>
                <w:szCs w:val="20"/>
                <w:lang w:eastAsia="zh-CN"/>
              </w:rPr>
              <w:t>nVNS</w:t>
            </w:r>
            <w:proofErr w:type="spellEnd"/>
            <w:r w:rsidRPr="00EC3AAB">
              <w:rPr>
                <w:rFonts w:asciiTheme="majorBidi" w:hAnsiTheme="majorBidi" w:cstheme="majorBidi"/>
                <w:sz w:val="22"/>
                <w:szCs w:val="20"/>
                <w:lang w:eastAsia="zh-CN"/>
              </w:rPr>
              <w:t xml:space="preserve"> treatments were successful in lowering migraine impairment and symptoms.  But </w:t>
            </w:r>
            <w:proofErr w:type="spellStart"/>
            <w:r w:rsidRPr="00EC3AAB">
              <w:rPr>
                <w:rFonts w:asciiTheme="majorBidi" w:hAnsiTheme="majorBidi" w:cstheme="majorBidi"/>
                <w:sz w:val="22"/>
                <w:szCs w:val="20"/>
                <w:lang w:eastAsia="zh-CN"/>
              </w:rPr>
              <w:t>tVNS</w:t>
            </w:r>
            <w:proofErr w:type="spellEnd"/>
            <w:r w:rsidRPr="00EC3AAB">
              <w:rPr>
                <w:rFonts w:asciiTheme="majorBidi" w:hAnsiTheme="majorBidi" w:cstheme="majorBidi"/>
                <w:sz w:val="22"/>
                <w:szCs w:val="20"/>
                <w:lang w:eastAsia="zh-CN"/>
              </w:rPr>
              <w:t xml:space="preserve"> was more successful in lowering the severity of the pain and the impact of headaches on daily living.</w:t>
            </w:r>
          </w:p>
        </w:tc>
      </w:tr>
      <w:tr w:rsidR="00946182" w14:paraId="16BD9D91" w14:textId="77777777">
        <w:trPr>
          <w:jc w:val="center"/>
        </w:trPr>
        <w:tc>
          <w:tcPr>
            <w:tcW w:w="2088" w:type="dxa"/>
            <w:tcBorders>
              <w:top w:val="single" w:sz="8" w:space="0" w:color="D5DEE8"/>
              <w:left w:val="single" w:sz="8" w:space="0" w:color="D5DEE8"/>
              <w:bottom w:val="single" w:sz="8" w:space="0" w:color="D5DEE8"/>
              <w:right w:val="single" w:sz="8" w:space="0" w:color="D5DEE8"/>
            </w:tcBorders>
            <w:shd w:val="clear" w:color="auto" w:fill="257DD5"/>
            <w:tcMar>
              <w:top w:w="105" w:type="dxa"/>
              <w:left w:w="80" w:type="dxa"/>
              <w:bottom w:w="105" w:type="dxa"/>
              <w:right w:w="80" w:type="dxa"/>
            </w:tcMar>
          </w:tcPr>
          <w:p w14:paraId="3369DAB6" w14:textId="77777777" w:rsidR="00946182" w:rsidRDefault="00000000">
            <w:pPr>
              <w:spacing w:line="240" w:lineRule="auto"/>
              <w:jc w:val="center"/>
            </w:pPr>
            <w:proofErr w:type="gramStart"/>
            <w:r>
              <w:rPr>
                <w:rFonts w:ascii="Liberation Sans" w:eastAsia="Liberation Sans" w:hAnsi="Liberation Sans"/>
                <w:b/>
                <w:color w:val="FFFFFF"/>
                <w:sz w:val="20"/>
              </w:rPr>
              <w:t>⌕  KEYWORDS</w:t>
            </w:r>
            <w:proofErr w:type="gramEnd"/>
          </w:p>
        </w:tc>
        <w:tc>
          <w:tcPr>
            <w:tcW w:w="8611" w:type="dxa"/>
            <w:gridSpan w:val="2"/>
            <w:tcBorders>
              <w:top w:val="single" w:sz="8" w:space="0" w:color="D5DEE8"/>
              <w:left w:val="single" w:sz="8" w:space="0" w:color="D5DEE8"/>
              <w:bottom w:val="single" w:sz="8" w:space="0" w:color="D5DEE8"/>
              <w:right w:val="single" w:sz="8" w:space="0" w:color="D5DEE8"/>
            </w:tcBorders>
            <w:shd w:val="clear" w:color="auto" w:fill="F7FAFE"/>
            <w:tcMar>
              <w:top w:w="105" w:type="dxa"/>
              <w:left w:w="100" w:type="dxa"/>
              <w:bottom w:w="105" w:type="dxa"/>
              <w:right w:w="100" w:type="dxa"/>
            </w:tcMar>
          </w:tcPr>
          <w:p w14:paraId="7EF84D62" w14:textId="3DABFFF1" w:rsidR="00946182" w:rsidRDefault="0012453A">
            <w:pPr>
              <w:spacing w:line="228" w:lineRule="auto"/>
            </w:pPr>
            <w:r w:rsidRPr="0012453A">
              <w:rPr>
                <w:rFonts w:ascii="Georgia" w:eastAsia="Georgia" w:hAnsi="Georgia"/>
                <w:color w:val="111111"/>
                <w:sz w:val="18"/>
              </w:rPr>
              <w:t xml:space="preserve">Migraine, non-invasive </w:t>
            </w:r>
            <w:proofErr w:type="spellStart"/>
            <w:r w:rsidRPr="0012453A">
              <w:rPr>
                <w:rFonts w:ascii="Georgia" w:eastAsia="Georgia" w:hAnsi="Georgia"/>
                <w:color w:val="111111"/>
                <w:sz w:val="18"/>
              </w:rPr>
              <w:t>Vagus</w:t>
            </w:r>
            <w:proofErr w:type="spellEnd"/>
            <w:r w:rsidRPr="0012453A">
              <w:rPr>
                <w:rFonts w:ascii="Georgia" w:eastAsia="Georgia" w:hAnsi="Georgia"/>
                <w:color w:val="111111"/>
                <w:sz w:val="18"/>
              </w:rPr>
              <w:t xml:space="preserve"> Nerve Stimulation, Quality of Life, Transcutaneous </w:t>
            </w:r>
            <w:proofErr w:type="spellStart"/>
            <w:r w:rsidRPr="0012453A">
              <w:rPr>
                <w:rFonts w:ascii="Georgia" w:eastAsia="Georgia" w:hAnsi="Georgia"/>
                <w:color w:val="111111"/>
                <w:sz w:val="18"/>
              </w:rPr>
              <w:t>Vagus</w:t>
            </w:r>
            <w:proofErr w:type="spellEnd"/>
            <w:r w:rsidRPr="0012453A">
              <w:rPr>
                <w:rFonts w:ascii="Georgia" w:eastAsia="Georgia" w:hAnsi="Georgia"/>
                <w:color w:val="111111"/>
                <w:sz w:val="18"/>
              </w:rPr>
              <w:t xml:space="preserve"> Nerve Stimulation.</w:t>
            </w:r>
          </w:p>
        </w:tc>
      </w:tr>
    </w:tbl>
    <w:p w14:paraId="03528BFC" w14:textId="77777777" w:rsidR="00946182" w:rsidRDefault="00946182">
      <w:pPr>
        <w:pBdr>
          <w:bottom w:val="single" w:sz="12" w:space="0" w:color="006A39"/>
        </w:pBdr>
        <w:spacing w:before="80" w:after="40" w:line="24" w:lineRule="auto"/>
      </w:pPr>
    </w:p>
    <w:p w14:paraId="41348C89" w14:textId="472BB5FF" w:rsidR="00860718" w:rsidRDefault="00860718">
      <w:pPr>
        <w:spacing w:after="200"/>
      </w:pPr>
      <w:r>
        <w:br w:type="page"/>
      </w:r>
    </w:p>
    <w:p w14:paraId="62D5548A" w14:textId="77777777" w:rsidR="004D5CE1" w:rsidRPr="006C1FB9" w:rsidRDefault="004D5CE1" w:rsidP="004D5CE1">
      <w:pPr>
        <w:spacing w:line="240" w:lineRule="auto"/>
        <w:jc w:val="both"/>
        <w:rPr>
          <w:rFonts w:asciiTheme="majorBidi" w:hAnsiTheme="majorBidi" w:cstheme="majorBidi"/>
          <w:b/>
          <w:bCs/>
          <w:sz w:val="22"/>
          <w:szCs w:val="20"/>
        </w:rPr>
      </w:pPr>
      <w:r w:rsidRPr="006C1FB9">
        <w:rPr>
          <w:rFonts w:asciiTheme="majorBidi" w:hAnsiTheme="majorBidi" w:cstheme="majorBidi"/>
          <w:b/>
          <w:bCs/>
          <w:sz w:val="22"/>
          <w:szCs w:val="20"/>
        </w:rPr>
        <w:lastRenderedPageBreak/>
        <w:t>INTRODUCTION</w:t>
      </w:r>
    </w:p>
    <w:p w14:paraId="2D1928BF"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Migraine is a severe, debilitating neurological disorder commonly known for its recurring episodes of head pain. This pain usually affects one side of the head and is of throbbing and pulsating nature. Mostly it is associated with a variety of autonomic and sensational disruptions. The signs and symptoms that typically comes with migraine include nausea, vomiting, photophobia (sensitivity to light), and phonophobia (sensitivity to sound). Migraine is a leading cause of impairments in quality of everyday life. Migraine attacks are extremely painful and has a recurring nature that can be continuous for hours to days. These attacks can have a remarkable effects on the daily routine activities and quality of life of the effected individuals </w:t>
      </w:r>
      <w:r w:rsidRPr="00EC3AAB">
        <w:rPr>
          <w:rFonts w:asciiTheme="majorBidi" w:hAnsiTheme="majorBidi" w:cstheme="majorBidi"/>
          <w:sz w:val="22"/>
          <w:szCs w:val="20"/>
        </w:rPr>
        <w:fldChar w:fldCharType="begin"/>
      </w:r>
      <w:r w:rsidRPr="00EC3AAB">
        <w:rPr>
          <w:rFonts w:asciiTheme="majorBidi" w:hAnsiTheme="majorBidi" w:cstheme="majorBidi"/>
          <w:sz w:val="22"/>
          <w:szCs w:val="20"/>
        </w:rPr>
        <w:instrText xml:space="preserve"> ADDIN EN.CITE &lt;EndNote&gt;&lt;Cite&gt;&lt;Author&gt;Pescador Ruschel&lt;/Author&gt;&lt;Year&gt;2025&lt;/Year&gt;&lt;RecNum&gt;68&lt;/RecNum&gt;&lt;DisplayText&gt;(1)&lt;/DisplayText&gt;&lt;record&gt;&lt;rec-number&gt;68&lt;/rec-number&gt;&lt;foreign-keys&gt;&lt;key app="EN" db-id="rx2f92aetvweaaefvw4p0x99ep0ta0tf02df" timestamp="1736427126"&gt;68&lt;/key&gt;&lt;/foreign-keys&gt;&lt;ref-type name="Book Section"&gt;5&lt;/ref-type&gt;&lt;contributors&gt;&lt;authors&gt;&lt;author&gt;Pescador Ruschel, M. A.&lt;/author&gt;&lt;author&gt;De Jesus, O.&lt;/author&gt;&lt;/authors&gt;&lt;/contributors&gt;&lt;auth-address&gt;Medical Center Santa Rita&amp;#xD;University of Puerto Rico, Medical Sciences Campus, Neurosurgery Section&lt;/auth-address&gt;&lt;titles&gt;&lt;title&gt;Migraine Headache&lt;/title&gt;&lt;secondary-title&gt;StatPearls&lt;/secondary-title&gt;&lt;/titles&gt;&lt;dates&gt;&lt;year&gt;2025&lt;/year&gt;&lt;/dates&gt;&lt;pub-location&gt;Treasure Island (FL)&lt;/pub-location&gt;&lt;publisher&gt;StatPearls Publishing&amp;#xD;Copyright © 2025, StatPearls Publishing LLC.&lt;/publisher&gt;&lt;accession-num&gt;32809622&lt;/accession-num&gt;&lt;urls&gt;&lt;/urls&gt;&lt;language&gt;eng&lt;/language&gt;&lt;/record&gt;&lt;/Cite&gt;&lt;/EndNote&gt;</w:instrText>
      </w:r>
      <w:r w:rsidRPr="00EC3AAB">
        <w:rPr>
          <w:rFonts w:asciiTheme="majorBidi" w:hAnsiTheme="majorBidi" w:cstheme="majorBidi"/>
          <w:sz w:val="22"/>
          <w:szCs w:val="20"/>
        </w:rPr>
        <w:fldChar w:fldCharType="separate"/>
      </w:r>
      <w:r w:rsidRPr="00EC3AAB">
        <w:rPr>
          <w:rFonts w:asciiTheme="majorBidi" w:hAnsiTheme="majorBidi" w:cstheme="majorBidi"/>
          <w:sz w:val="22"/>
          <w:szCs w:val="20"/>
        </w:rPr>
        <w:t>(1)</w:t>
      </w:r>
      <w:r w:rsidRPr="00EC3AAB">
        <w:rPr>
          <w:rFonts w:asciiTheme="majorBidi" w:hAnsiTheme="majorBidi" w:cstheme="majorBidi"/>
          <w:sz w:val="22"/>
          <w:szCs w:val="20"/>
        </w:rPr>
        <w:fldChar w:fldCharType="end"/>
      </w:r>
      <w:r w:rsidRPr="00EC3AAB">
        <w:rPr>
          <w:rFonts w:asciiTheme="majorBidi" w:hAnsiTheme="majorBidi" w:cstheme="majorBidi"/>
          <w:sz w:val="22"/>
          <w:szCs w:val="20"/>
        </w:rPr>
        <w:t xml:space="preserve">. International Headache Society subdivided the migraine into two main categories: migraine with aura and migraine without aura. The second type (migraine without aura) is a more prevalent condition as compared to the first one </w:t>
      </w:r>
      <w:r w:rsidRPr="00EC3AAB">
        <w:rPr>
          <w:rFonts w:asciiTheme="majorBidi" w:hAnsiTheme="majorBidi" w:cstheme="majorBidi"/>
          <w:sz w:val="22"/>
          <w:szCs w:val="20"/>
        </w:rPr>
        <w:fldChar w:fldCharType="begin"/>
      </w:r>
      <w:r w:rsidRPr="00EC3AAB">
        <w:rPr>
          <w:rFonts w:asciiTheme="majorBidi" w:hAnsiTheme="majorBidi" w:cstheme="majorBidi"/>
          <w:sz w:val="22"/>
          <w:szCs w:val="20"/>
        </w:rPr>
        <w:instrText xml:space="preserve"> ADDIN EN.CITE &lt;EndNote&gt;&lt;Cite&gt;&lt;Author&gt;Athar&lt;/Author&gt;&lt;Year&gt;2022&lt;/Year&gt;&lt;RecNum&gt;93&lt;/RecNum&gt;&lt;DisplayText&gt;(2)&lt;/DisplayText&gt;&lt;record&gt;&lt;rec-number&gt;93&lt;/rec-number&gt;&lt;foreign-keys&gt;&lt;key app="EN" db-id="rx2f92aetvweaaefvw4p0x99ep0ta0tf02df" timestamp="1751797431"&gt;93&lt;/key&gt;&lt;/foreign-keys&gt;&lt;ref-type name="Journal Article"&gt;17&lt;/ref-type&gt;&lt;contributors&gt;&lt;authors&gt;&lt;author&gt;Athar, Farwa&lt;/author&gt;&lt;author&gt;Zahid, Afra&lt;/author&gt;&lt;author&gt;Farooq, Minaam&lt;/author&gt;&lt;author&gt;Ayyan, Muhammad&lt;/author&gt;&lt;author&gt;Ashraf, Mohammad&lt;/author&gt;&lt;author&gt;Farooq, Mukarram&lt;/author&gt;&lt;author&gt;Naeem, Faiza&lt;/author&gt;&lt;author&gt;Badar, Aamna&lt;/author&gt;&lt;author&gt;Ehsan, Muhammad&lt;/author&gt;&lt;author&gt;Hussain, Ayesha&lt;/author&gt;&lt;author&gt;Ilyas, Muhammad Abdullah&lt;/author&gt;&lt;/authors&gt;&lt;/contributors&gt;&lt;titles&gt;&lt;title&gt;Frequency of migraine according to the ICHD-3 criteria and its association with sociodemographic and triggering factors in Pakistan: A cross-sectional study&lt;/title&gt;&lt;secondary-title&gt;Annals of Medicine and Surgery&lt;/secondary-title&gt;&lt;/titles&gt;&lt;periodical&gt;&lt;full-title&gt;Annals of Medicine and Surgery&lt;/full-title&gt;&lt;/periodical&gt;&lt;volume&gt;82&lt;/volume&gt;&lt;keywords&gt;&lt;keyword&gt;Migraine disorders&lt;/keyword&gt;&lt;keyword&gt;ICHD-3 criteria&lt;/keyword&gt;&lt;keyword&gt;Sociodemographic factors&lt;/keyword&gt;&lt;keyword&gt;Triggering factors&lt;/keyword&gt;&lt;/keywords&gt;&lt;dates&gt;&lt;year&gt;2022&lt;/year&gt;&lt;/dates&gt;&lt;isbn&gt;2049-0801&lt;/isbn&gt;&lt;accession-num&gt;01845215-202210000-00061&lt;/accession-num&gt;&lt;urls&gt;&lt;related-urls&gt;&lt;url&gt;https://journals.lww.com/annals-of-medicine-and-surgery/fulltext/2022/10000/frequency_of_migraine_according_to_the_ichd_3.61.aspx&lt;/url&gt;&lt;/related-urls&gt;&lt;/urls&gt;&lt;electronic-resource-num&gt;10.1016/j.amsu.2022.104589&lt;/electronic-resource-num&gt;&lt;/record&gt;&lt;/Cite&gt;&lt;/EndNote&gt;</w:instrText>
      </w:r>
      <w:r w:rsidRPr="00EC3AAB">
        <w:rPr>
          <w:rFonts w:asciiTheme="majorBidi" w:hAnsiTheme="majorBidi" w:cstheme="majorBidi"/>
          <w:sz w:val="22"/>
          <w:szCs w:val="20"/>
        </w:rPr>
        <w:fldChar w:fldCharType="separate"/>
      </w:r>
      <w:r w:rsidRPr="00EC3AAB">
        <w:rPr>
          <w:rFonts w:asciiTheme="majorBidi" w:hAnsiTheme="majorBidi" w:cstheme="majorBidi"/>
          <w:sz w:val="22"/>
          <w:szCs w:val="20"/>
        </w:rPr>
        <w:t>(2)</w:t>
      </w:r>
      <w:r w:rsidRPr="00EC3AAB">
        <w:rPr>
          <w:rFonts w:asciiTheme="majorBidi" w:hAnsiTheme="majorBidi" w:cstheme="majorBidi"/>
          <w:sz w:val="22"/>
          <w:szCs w:val="20"/>
        </w:rPr>
        <w:fldChar w:fldCharType="end"/>
      </w:r>
      <w:r w:rsidRPr="00EC3AAB">
        <w:rPr>
          <w:rFonts w:asciiTheme="majorBidi" w:hAnsiTheme="majorBidi" w:cstheme="majorBidi"/>
          <w:sz w:val="22"/>
          <w:szCs w:val="20"/>
        </w:rPr>
        <w:t xml:space="preserve">. Aura is basically defined as a combination of various sensory and neurological disruptions usually visual or sensational that typically occurs before the headache in almost 25% of migraine cases. Migraine without aura, which is more prevalent and account for the majority (70–75%) of cases, does not comes up with these warning symptoms and normally presents with particular head pain </w:t>
      </w:r>
      <w:r w:rsidRPr="00EC3AAB">
        <w:rPr>
          <w:rFonts w:asciiTheme="majorBidi" w:hAnsiTheme="majorBidi" w:cstheme="majorBidi"/>
          <w:sz w:val="22"/>
          <w:szCs w:val="20"/>
        </w:rPr>
        <w:fldChar w:fldCharType="begin"/>
      </w:r>
      <w:r w:rsidRPr="00EC3AAB">
        <w:rPr>
          <w:rFonts w:asciiTheme="majorBidi" w:hAnsiTheme="majorBidi" w:cstheme="majorBidi"/>
          <w:sz w:val="22"/>
          <w:szCs w:val="20"/>
        </w:rPr>
        <w:instrText xml:space="preserve"> ADDIN EN.CITE &lt;EndNote&gt;&lt;Cite&gt;&lt;Author&gt;DAHIYA&lt;/Author&gt;&lt;Year&gt;2022&lt;/Year&gt;&lt;RecNum&gt;70&lt;/RecNum&gt;&lt;DisplayText&gt;(3)&lt;/DisplayText&gt;&lt;record&gt;&lt;rec-number&gt;70&lt;/rec-number&gt;&lt;foreign-keys&gt;&lt;key app="EN" db-id="rx2f92aetvweaaefvw4p0x99ep0ta0tf02df" timestamp="1736427437"&gt;70&lt;/key&gt;&lt;/foreign-keys&gt;&lt;ref-type name="Journal Article"&gt;17&lt;/ref-type&gt;&lt;contributors&gt;&lt;authors&gt;&lt;author&gt;DAHIYA, VIKASH&lt;/author&gt;&lt;author&gt;ROHILLA, ANKUR&lt;/author&gt;&lt;author&gt;JAIN, SAROJ&lt;/author&gt;&lt;author&gt;ROHILLA, SEEMA&lt;/author&gt;&lt;/authors&gt;&lt;/contributors&gt;&lt;titles&gt;&lt;title&gt;ATENOLOL IN EPISODIC MIGRAINE PROPHYLAXIS: A REVIEW&lt;/title&gt;&lt;secondary-title&gt;Asian J Pharm Clin Res&lt;/secondary-title&gt;&lt;/titles&gt;&lt;periodical&gt;&lt;full-title&gt;Asian J Pharm Clin Res&lt;/full-title&gt;&lt;/periodical&gt;&lt;pages&gt;9-16&lt;/pages&gt;&lt;volume&gt;15&lt;/volume&gt;&lt;number&gt;6&lt;/number&gt;&lt;dates&gt;&lt;year&gt;2022&lt;/year&gt;&lt;/dates&gt;&lt;urls&gt;&lt;/urls&gt;&lt;/record&gt;&lt;/Cite&gt;&lt;/EndNote&gt;</w:instrText>
      </w:r>
      <w:r w:rsidRPr="00EC3AAB">
        <w:rPr>
          <w:rFonts w:asciiTheme="majorBidi" w:hAnsiTheme="majorBidi" w:cstheme="majorBidi"/>
          <w:sz w:val="22"/>
          <w:szCs w:val="20"/>
        </w:rPr>
        <w:fldChar w:fldCharType="separate"/>
      </w:r>
      <w:r w:rsidRPr="00EC3AAB">
        <w:rPr>
          <w:rFonts w:asciiTheme="majorBidi" w:hAnsiTheme="majorBidi" w:cstheme="majorBidi"/>
          <w:sz w:val="22"/>
          <w:szCs w:val="20"/>
        </w:rPr>
        <w:t>(3)</w:t>
      </w:r>
      <w:r w:rsidRPr="00EC3AAB">
        <w:rPr>
          <w:rFonts w:asciiTheme="majorBidi" w:hAnsiTheme="majorBidi" w:cstheme="majorBidi"/>
          <w:sz w:val="22"/>
          <w:szCs w:val="20"/>
        </w:rPr>
        <w:fldChar w:fldCharType="end"/>
      </w:r>
      <w:r w:rsidRPr="00EC3AAB">
        <w:rPr>
          <w:rFonts w:asciiTheme="majorBidi" w:hAnsiTheme="majorBidi" w:cstheme="majorBidi"/>
          <w:sz w:val="22"/>
          <w:szCs w:val="20"/>
        </w:rPr>
        <w:t xml:space="preserve">. </w:t>
      </w:r>
    </w:p>
    <w:p w14:paraId="393CEF78"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Universally, migraine is considered as one of the chief causes of disability especially among the population under the age of 50 years, with prominent social, financial, and personal outcomes.</w:t>
      </w:r>
      <w:r w:rsidRPr="00EC3AAB">
        <w:rPr>
          <w:rFonts w:asciiTheme="majorBidi" w:hAnsiTheme="majorBidi" w:cstheme="majorBidi"/>
          <w:sz w:val="22"/>
          <w:szCs w:val="20"/>
        </w:rPr>
        <w:fldChar w:fldCharType="begin"/>
      </w:r>
      <w:r w:rsidRPr="00EC3AAB">
        <w:rPr>
          <w:rFonts w:asciiTheme="majorBidi" w:hAnsiTheme="majorBidi" w:cstheme="majorBidi"/>
          <w:sz w:val="22"/>
          <w:szCs w:val="20"/>
        </w:rPr>
        <w:instrText xml:space="preserve"> ADDIN EN.CITE &lt;EndNote&gt;&lt;Cite&gt;&lt;Author&gt;Farwa&lt;/Author&gt;&lt;Year&gt;2022&lt;/Year&gt;&lt;RecNum&gt;71&lt;/RecNum&gt;&lt;DisplayText&gt;(4)&lt;/DisplayText&gt;&lt;record&gt;&lt;rec-number&gt;71&lt;/rec-number&gt;&lt;foreign-keys&gt;&lt;key app="EN" db-id="rx2f92aetvweaaefvw4p0x99ep0ta0tf02df" timestamp="1736427550"&gt;71&lt;/key&gt;&lt;/foreign-keys&gt;&lt;ref-type name="Journal Article"&gt;17&lt;/ref-type&gt;&lt;contributors&gt;&lt;authors&gt;&lt;author&gt;Farwa, Athar&lt;/author&gt;&lt;author&gt;Afra, Zahid&lt;/author&gt;&lt;author&gt;Minaam, Farooq&lt;/author&gt;&lt;author&gt;Muhammad, Ayyan&lt;/author&gt;&lt;author&gt;Mohammad, Ashraf&lt;/author&gt;&lt;author&gt;Mukarram, Farooq&lt;/author&gt;&lt;author&gt;Faiza, Naeem&lt;/author&gt;&lt;author&gt;Aamna, Badar&lt;/author&gt;&lt;author&gt;Muhammad, Ehsan&lt;/author&gt;&lt;author&gt;Ayesha, Hussain&lt;/author&gt;&lt;author&gt;Muhammad Abdullah, Ilyas&lt;/author&gt;&lt;/authors&gt;&lt;/contributors&gt;&lt;titles&gt;&lt;title&gt;Frequency of migraine according to the ICHD-3 criteria and its association with sociodemographic and triggering factors in Pakistan: A cross-sectional study&lt;/title&gt;&lt;secondary-title&gt;Annals of Medicine and Surgery&lt;/secondary-title&gt;&lt;/titles&gt;&lt;periodical&gt;&lt;full-title&gt;Annals of Medicine and Surgery&lt;/full-title&gt;&lt;/periodical&gt;&lt;pages&gt;104589&lt;/pages&gt;&lt;volume&gt;82&lt;/volume&gt;&lt;keywords&gt;&lt;keyword&gt;Migraine disorders, ICHD-3 criteria, Sociodemographic factors, Triggering factors&lt;/keyword&gt;&lt;/keywords&gt;&lt;dates&gt;&lt;year&gt;2022&lt;/year&gt;&lt;/dates&gt;&lt;isbn&gt;2049-0801&lt;/isbn&gt;&lt;urls&gt;&lt;related-urls&gt;&lt;url&gt;https://www.sciencedirect.com/science/article/pii/S2049080122013498&lt;/url&gt;&lt;/related-urls&gt;&lt;/urls&gt;&lt;electronic-resource-num&gt;https://doi.org/10.1016/j.amsu.2022.104589&lt;/electronic-resource-num&gt;&lt;/record&gt;&lt;/Cite&gt;&lt;/EndNote&gt;</w:instrText>
      </w:r>
      <w:r w:rsidRPr="00EC3AAB">
        <w:rPr>
          <w:rFonts w:asciiTheme="majorBidi" w:hAnsiTheme="majorBidi" w:cstheme="majorBidi"/>
          <w:sz w:val="22"/>
          <w:szCs w:val="20"/>
        </w:rPr>
        <w:fldChar w:fldCharType="separate"/>
      </w:r>
      <w:r w:rsidRPr="00EC3AAB">
        <w:rPr>
          <w:rFonts w:asciiTheme="majorBidi" w:hAnsiTheme="majorBidi" w:cstheme="majorBidi"/>
          <w:sz w:val="22"/>
          <w:szCs w:val="20"/>
        </w:rPr>
        <w:t>(4)</w:t>
      </w:r>
      <w:r w:rsidRPr="00EC3AAB">
        <w:rPr>
          <w:rFonts w:asciiTheme="majorBidi" w:hAnsiTheme="majorBidi" w:cstheme="majorBidi"/>
          <w:sz w:val="22"/>
          <w:szCs w:val="20"/>
        </w:rPr>
        <w:fldChar w:fldCharType="end"/>
      </w:r>
      <w:r w:rsidRPr="00EC3AAB">
        <w:rPr>
          <w:rFonts w:asciiTheme="majorBidi" w:hAnsiTheme="majorBidi" w:cstheme="majorBidi"/>
          <w:sz w:val="22"/>
          <w:szCs w:val="20"/>
        </w:rPr>
        <w:t xml:space="preserve"> According to the Global Burden of Disease (GBD) Study, migraine affects more than 1.1 billion people globally with a percentage of almost 14–15% across both genders, although females are more affected as compared to male—usually with the ratio of three times more than men—variation in the prevalence rate may be due to hormonal variation accompanied with menopause, pregnancy, and menstruation. </w:t>
      </w:r>
      <w:r w:rsidRPr="00EC3AAB">
        <w:rPr>
          <w:rFonts w:asciiTheme="majorBidi" w:hAnsiTheme="majorBidi" w:cstheme="majorBidi"/>
          <w:sz w:val="22"/>
          <w:szCs w:val="20"/>
        </w:rPr>
        <w:fldChar w:fldCharType="begin"/>
      </w:r>
      <w:r w:rsidRPr="00EC3AAB">
        <w:rPr>
          <w:rFonts w:asciiTheme="majorBidi" w:hAnsiTheme="majorBidi" w:cstheme="majorBidi"/>
          <w:sz w:val="22"/>
          <w:szCs w:val="20"/>
        </w:rPr>
        <w:instrText xml:space="preserve"> ADDIN EN.CITE &lt;EndNote&gt;&lt;Cite&gt;&lt;Author&gt;Lipton&lt;/Author&gt;&lt;Year&gt;2001&lt;/Year&gt;&lt;RecNum&gt;72&lt;/RecNum&gt;&lt;DisplayText&gt;(5)&lt;/DisplayText&gt;&lt;record&gt;&lt;rec-number&gt;72&lt;/rec-number&gt;&lt;foreign-keys&gt;&lt;key app="EN" db-id="rx2f92aetvweaaefvw4p0x99ep0ta0tf02df" timestamp="1736427630"&gt;72&lt;/key&gt;&lt;/foreign-keys&gt;&lt;ref-type name="Journal Article"&gt;17&lt;/ref-type&gt;&lt;contributors&gt;&lt;authors&gt;&lt;author&gt;Lipton, Richard B&lt;/author&gt;&lt;author&gt;Stewart, Walter F&lt;/author&gt;&lt;author&gt;Scher, Ann I&lt;/author&gt;&lt;/authors&gt;&lt;/contributors&gt;&lt;titles&gt;&lt;title&gt;Epidemiology and economic impact of migraine&lt;/title&gt;&lt;secondary-title&gt;Current medical research and opinion&lt;/secondary-title&gt;&lt;/titles&gt;&lt;periodical&gt;&lt;full-title&gt;Current medical research and opinion&lt;/full-title&gt;&lt;/periodical&gt;&lt;pages&gt;s4-12&lt;/pages&gt;&lt;volume&gt;17&lt;/volume&gt;&lt;number&gt;sup1&lt;/number&gt;&lt;dates&gt;&lt;year&gt;2001&lt;/year&gt;&lt;/dates&gt;&lt;isbn&gt;0300-7995&lt;/isbn&gt;&lt;urls&gt;&lt;/urls&gt;&lt;/record&gt;&lt;/Cite&gt;&lt;/EndNote&gt;</w:instrText>
      </w:r>
      <w:r w:rsidRPr="00EC3AAB">
        <w:rPr>
          <w:rFonts w:asciiTheme="majorBidi" w:hAnsiTheme="majorBidi" w:cstheme="majorBidi"/>
          <w:sz w:val="22"/>
          <w:szCs w:val="20"/>
        </w:rPr>
        <w:fldChar w:fldCharType="separate"/>
      </w:r>
      <w:r w:rsidRPr="00EC3AAB">
        <w:rPr>
          <w:rFonts w:asciiTheme="majorBidi" w:hAnsiTheme="majorBidi" w:cstheme="majorBidi"/>
          <w:sz w:val="22"/>
          <w:szCs w:val="20"/>
        </w:rPr>
        <w:t>(5)</w:t>
      </w:r>
      <w:r w:rsidRPr="00EC3AAB">
        <w:rPr>
          <w:rFonts w:asciiTheme="majorBidi" w:hAnsiTheme="majorBidi" w:cstheme="majorBidi"/>
          <w:sz w:val="22"/>
          <w:szCs w:val="20"/>
        </w:rPr>
        <w:fldChar w:fldCharType="end"/>
      </w:r>
      <w:r w:rsidRPr="00EC3AAB">
        <w:rPr>
          <w:rFonts w:asciiTheme="majorBidi" w:hAnsiTheme="majorBidi" w:cstheme="majorBidi"/>
          <w:sz w:val="22"/>
          <w:szCs w:val="20"/>
        </w:rPr>
        <w:t xml:space="preserve"> With the aspect of regional variation, Asian population has greater rate of migraine as compared to other countries. Moreover, these prevalence rates vary by country. In China, studies revealed that a major portion of a population reported the cases of migraine and is approximately 9.3%. In India, the rate is prominently higher and is almost 25.2%, on the other hand Nepal shows a significantly even alarming rates, as some researches indicating a percentage of 34.1% cases. These variations can be results into hereditary, environmental, lifestyle, and social factors, additionally in access to healthcare and diagnostic accuracy.</w:t>
      </w:r>
      <w:r w:rsidRPr="00EC3AAB">
        <w:rPr>
          <w:rFonts w:asciiTheme="majorBidi" w:hAnsiTheme="majorBidi" w:cstheme="majorBidi"/>
          <w:sz w:val="22"/>
          <w:szCs w:val="20"/>
        </w:rPr>
        <w:fldChar w:fldCharType="begin"/>
      </w:r>
      <w:r w:rsidRPr="00EC3AAB">
        <w:rPr>
          <w:rFonts w:asciiTheme="majorBidi" w:hAnsiTheme="majorBidi" w:cstheme="majorBidi"/>
          <w:sz w:val="22"/>
          <w:szCs w:val="20"/>
        </w:rPr>
        <w:instrText xml:space="preserve"> ADDIN EN.CITE &lt;EndNote&gt;&lt;Cite&gt;&lt;Author&gt;!!! INVALID CITATION !!! (9)&lt;/Author&gt;&lt;RecNum&gt;0&lt;/RecNum&gt;&lt;DisplayText&gt;(6)&lt;/DisplayText&gt;&lt;record&gt;&lt;dates&gt;&lt;year&gt;!!! INVALID CITATION !!! (9)&lt;/year&gt;&lt;/dates&gt;&lt;/record&gt;&lt;/Cite&gt;&lt;/EndNote&gt;</w:instrText>
      </w:r>
      <w:r w:rsidRPr="00EC3AAB">
        <w:rPr>
          <w:rFonts w:asciiTheme="majorBidi" w:hAnsiTheme="majorBidi" w:cstheme="majorBidi"/>
          <w:sz w:val="22"/>
          <w:szCs w:val="20"/>
        </w:rPr>
        <w:fldChar w:fldCharType="separate"/>
      </w:r>
      <w:r w:rsidRPr="00EC3AAB">
        <w:rPr>
          <w:rFonts w:asciiTheme="majorBidi" w:hAnsiTheme="majorBidi" w:cstheme="majorBidi"/>
          <w:sz w:val="22"/>
          <w:szCs w:val="20"/>
        </w:rPr>
        <w:t>(6)</w:t>
      </w:r>
      <w:r w:rsidRPr="00EC3AAB">
        <w:rPr>
          <w:rFonts w:asciiTheme="majorBidi" w:hAnsiTheme="majorBidi" w:cstheme="majorBidi"/>
          <w:sz w:val="22"/>
          <w:szCs w:val="20"/>
        </w:rPr>
        <w:fldChar w:fldCharType="end"/>
      </w:r>
      <w:r w:rsidRPr="00EC3AAB">
        <w:rPr>
          <w:rFonts w:asciiTheme="majorBidi" w:hAnsiTheme="majorBidi" w:cstheme="majorBidi"/>
          <w:sz w:val="22"/>
          <w:szCs w:val="20"/>
        </w:rPr>
        <w:t xml:space="preserve"> </w:t>
      </w:r>
    </w:p>
    <w:p w14:paraId="71BB9E64"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According to recent studies, the annual prevalence of migraine in Pakistan is approximately 22.9%, which is usually higher than the globe’s annual prevalence which is about 15%, this rising rate of cases making it a largest but unacknowledged general health problem. Another study revealed that the cases of migraine are significantly higher in urban areas especially among the females of age 20–40 years.</w:t>
      </w:r>
      <w:r w:rsidRPr="00EC3AAB">
        <w:rPr>
          <w:rFonts w:asciiTheme="majorBidi" w:hAnsiTheme="majorBidi" w:cstheme="majorBidi"/>
          <w:sz w:val="22"/>
          <w:szCs w:val="20"/>
        </w:rPr>
        <w:fldChar w:fldCharType="begin"/>
      </w:r>
      <w:r w:rsidRPr="00EC3AAB">
        <w:rPr>
          <w:rFonts w:asciiTheme="majorBidi" w:hAnsiTheme="majorBidi" w:cstheme="majorBidi"/>
          <w:sz w:val="22"/>
          <w:szCs w:val="20"/>
        </w:rPr>
        <w:instrText xml:space="preserve"> ADDIN EN.CITE &lt;EndNote&gt;&lt;Cite&gt;&lt;Author&gt;Jamali&lt;/Author&gt;&lt;Year&gt;2024&lt;/Year&gt;&lt;RecNum&gt;73&lt;/RecNum&gt;&lt;DisplayText&gt;(7)&lt;/DisplayText&gt;&lt;record&gt;&lt;rec-number&gt;73&lt;/rec-number&gt;&lt;foreign-keys&gt;&lt;key app="EN" db-id="rx2f92aetvweaaefvw4p0x99ep0ta0tf02df" timestamp="1736427741"&gt;73&lt;/key&gt;&lt;/foreign-keys&gt;&lt;ref-type name="Journal Article"&gt;17&lt;/ref-type&gt;&lt;contributors&gt;&lt;authors&gt;&lt;author&gt;Jamali, Yasir&lt;/author&gt;&lt;author&gt;Khan, Hira&lt;/author&gt;&lt;author&gt;Channa, Rizwan&lt;/author&gt;&lt;author&gt;Khuhro, Ali&lt;/author&gt;&lt;author&gt;Shaikh, Abdul&lt;/author&gt;&lt;author&gt;Chandio, Zahid&lt;/author&gt;&lt;/authors&gt;&lt;/contributors&gt;&lt;titles&gt;&lt;title&gt;Prevalence of Migraine Headache in Pakistan -A Narrative Review&lt;/title&gt;&lt;secondary-title&gt;Journal of Health and Rehabilitation Research&lt;/secondary-title&gt;&lt;/titles&gt;&lt;periodical&gt;&lt;full-title&gt;Journal of Health and Rehabilitation Research&lt;/full-title&gt;&lt;/periodical&gt;&lt;pages&gt;23 - 27&lt;/pages&gt;&lt;volume&gt;4&lt;/volume&gt;&lt;dates&gt;&lt;year&gt;2024&lt;/year&gt;&lt;pub-dates&gt;&lt;date&gt;01&lt;/date&gt;&lt;/pub-dates&gt;&lt;/dates&gt;&lt;urls&gt;&lt;/urls&gt;&lt;electronic-resource-num&gt;10.61919/jhrr.v4i1.275&lt;/electronic-resource-num&gt;&lt;/record&gt;&lt;/Cite&gt;&lt;/EndNote&gt;</w:instrText>
      </w:r>
      <w:r w:rsidRPr="00EC3AAB">
        <w:rPr>
          <w:rFonts w:asciiTheme="majorBidi" w:hAnsiTheme="majorBidi" w:cstheme="majorBidi"/>
          <w:sz w:val="22"/>
          <w:szCs w:val="20"/>
        </w:rPr>
        <w:fldChar w:fldCharType="separate"/>
      </w:r>
      <w:r w:rsidRPr="00EC3AAB">
        <w:rPr>
          <w:rFonts w:asciiTheme="majorBidi" w:hAnsiTheme="majorBidi" w:cstheme="majorBidi"/>
          <w:sz w:val="22"/>
          <w:szCs w:val="20"/>
        </w:rPr>
        <w:t>(7)</w:t>
      </w:r>
      <w:r w:rsidRPr="00EC3AAB">
        <w:rPr>
          <w:rFonts w:asciiTheme="majorBidi" w:hAnsiTheme="majorBidi" w:cstheme="majorBidi"/>
          <w:sz w:val="22"/>
          <w:szCs w:val="20"/>
        </w:rPr>
        <w:fldChar w:fldCharType="end"/>
      </w:r>
      <w:r w:rsidRPr="00EC3AAB">
        <w:rPr>
          <w:rFonts w:asciiTheme="majorBidi" w:hAnsiTheme="majorBidi" w:cstheme="majorBidi"/>
          <w:sz w:val="22"/>
          <w:szCs w:val="20"/>
        </w:rPr>
        <w:t xml:space="preserve"> Unfortunately, the cases of migraine has reached up to 20-25% among the university going medical students, which is directly or indirectly related to high level of stress, irregular sleep patterns and academic stress. In spite of these alarming and rising number of cases, cause of migraine is still unrecognized and misdiagnosed in this region, usually due to bounded awareness, societal stigma, and a shortage of access to specific neurology resources. This background demands the further research or modern treatment options that should be authentic, non-pharmacological and easily assessable. </w:t>
      </w:r>
      <w:r w:rsidRPr="00EC3AAB">
        <w:rPr>
          <w:rFonts w:asciiTheme="majorBidi" w:hAnsiTheme="majorBidi" w:cstheme="majorBidi"/>
          <w:sz w:val="22"/>
          <w:szCs w:val="20"/>
        </w:rPr>
        <w:fldChar w:fldCharType="begin"/>
      </w:r>
      <w:r w:rsidRPr="00EC3AAB">
        <w:rPr>
          <w:rFonts w:asciiTheme="majorBidi" w:hAnsiTheme="majorBidi" w:cstheme="majorBidi"/>
          <w:sz w:val="22"/>
          <w:szCs w:val="20"/>
        </w:rPr>
        <w:instrText xml:space="preserve"> ADDIN EN.CITE &lt;EndNote&gt;&lt;Cite&gt;&lt;Author&gt;Mohammad Moosa&lt;/Author&gt;&lt;Year&gt;2025&lt;/Year&gt;&lt;RecNum&gt;97&lt;/RecNum&gt;&lt;DisplayText&gt;(8)&lt;/DisplayText&gt;&lt;record&gt;&lt;rec-number&gt;97&lt;/rec-number&gt;&lt;foreign-keys&gt;&lt;key app="EN" db-id="rx2f92aetvweaaefvw4p0x99ep0ta0tf02df" timestamp="1751798334"&gt;97&lt;/key&gt;&lt;/foreign-keys&gt;&lt;ref-type name="Journal Article"&gt;17&lt;/ref-type&gt;&lt;contributors&gt;&lt;authors&gt;&lt;author&gt;Mohammad Moosa, Butt&lt;/author&gt;&lt;author&gt;Mohammad Ammar Ur, Rahman&lt;/author&gt;&lt;author&gt;Ilsa, Babar&lt;/author&gt;&lt;author&gt;Mohammad Sameed, Safwan&lt;/author&gt;&lt;author&gt;Javeria, Mahmood&lt;/author&gt;&lt;author&gt;Ramsha Mushtaq, Khan&lt;/author&gt;&lt;/authors&gt;&lt;/contributors&gt;&lt;titles&gt;&lt;title&gt;Awareness, Prevalence, Causes, and Effects of Migraine Among Medical Students in Lahore, Pakistan: A Cross-Sectional Study&lt;/title&gt;&lt;secondary-title&gt;Journal of Society of Prevention, Advocacy and Research KEMU&lt;/secondary-title&gt;&lt;/titles&gt;&lt;periodical&gt;&lt;full-title&gt;Journal of Society of Prevention, Advocacy and Research KEMU&lt;/full-title&gt;&lt;/periodical&gt;&lt;pages&gt;50-54&lt;/pages&gt;&lt;volume&gt;3&lt;/volume&gt;&lt;number&gt;3&lt;/number&gt;&lt;section&gt;Research Articles&lt;/section&gt;&lt;dates&gt;&lt;year&gt;2025&lt;/year&gt;&lt;pub-dates&gt;&lt;date&gt;03/14&lt;/date&gt;&lt;/pub-dates&gt;&lt;/dates&gt;&lt;urls&gt;&lt;related-urls&gt;&lt;url&gt;https://journalofspark.com/journal/index.php/JSpark/article/view/746&lt;/url&gt;&lt;/related-urls&gt;&lt;/urls&gt;&lt;electronic-resource-num&gt;10.21649/jspark.v3i3.746&lt;/electronic-resource-num&gt;&lt;access-date&gt;2025/07/06&lt;/access-date&gt;&lt;/record&gt;&lt;/Cite&gt;&lt;/EndNote&gt;</w:instrText>
      </w:r>
      <w:r w:rsidRPr="00EC3AAB">
        <w:rPr>
          <w:rFonts w:asciiTheme="majorBidi" w:hAnsiTheme="majorBidi" w:cstheme="majorBidi"/>
          <w:sz w:val="22"/>
          <w:szCs w:val="20"/>
        </w:rPr>
        <w:fldChar w:fldCharType="separate"/>
      </w:r>
      <w:r w:rsidRPr="00EC3AAB">
        <w:rPr>
          <w:rFonts w:asciiTheme="majorBidi" w:hAnsiTheme="majorBidi" w:cstheme="majorBidi"/>
          <w:sz w:val="22"/>
          <w:szCs w:val="20"/>
        </w:rPr>
        <w:t>(8)</w:t>
      </w:r>
      <w:r w:rsidRPr="00EC3AAB">
        <w:rPr>
          <w:rFonts w:asciiTheme="majorBidi" w:hAnsiTheme="majorBidi" w:cstheme="majorBidi"/>
          <w:sz w:val="22"/>
          <w:szCs w:val="20"/>
        </w:rPr>
        <w:fldChar w:fldCharType="end"/>
      </w:r>
      <w:r w:rsidRPr="00EC3AAB">
        <w:rPr>
          <w:rFonts w:asciiTheme="majorBidi" w:hAnsiTheme="majorBidi" w:cstheme="majorBidi"/>
          <w:sz w:val="22"/>
          <w:szCs w:val="20"/>
        </w:rPr>
        <w:t xml:space="preserve"> </w:t>
      </w:r>
    </w:p>
    <w:p w14:paraId="45B84D53"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Non-invasive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and transcutaneous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are promising non-pharmacological treatments for migraine management. Both modalities target migraine pain pathways through distinct mechanisms and have the potential to provide pain relief and improve quality of life (QOL). Migraines significantly impact quality of life and productivity, making the search for effective, accessible treatments essential. Comparing the efficacy of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and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could offer valuable insights into their relative effectiveness in reducing pain and enhancing QOL for migraine patients.</w:t>
      </w:r>
      <w:bookmarkStart w:id="0" w:name="_Toc207537304"/>
    </w:p>
    <w:p w14:paraId="4A7B51AD" w14:textId="77777777" w:rsidR="004D5CE1" w:rsidRPr="00A61498" w:rsidRDefault="004D5CE1" w:rsidP="004D5CE1">
      <w:pPr>
        <w:spacing w:line="240" w:lineRule="auto"/>
        <w:jc w:val="both"/>
        <w:rPr>
          <w:rFonts w:asciiTheme="majorBidi" w:hAnsiTheme="majorBidi" w:cstheme="majorBidi"/>
          <w:b/>
          <w:bCs/>
          <w:sz w:val="22"/>
          <w:szCs w:val="20"/>
        </w:rPr>
      </w:pPr>
      <w:r w:rsidRPr="00A61498">
        <w:rPr>
          <w:rFonts w:asciiTheme="majorBidi" w:hAnsiTheme="majorBidi" w:cstheme="majorBidi"/>
          <w:b/>
          <w:bCs/>
          <w:sz w:val="22"/>
          <w:szCs w:val="20"/>
        </w:rPr>
        <w:t>OPERATIONAL DEFINITIONS</w:t>
      </w:r>
      <w:bookmarkEnd w:id="0"/>
    </w:p>
    <w:p w14:paraId="77F94298"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Migraine:</w:t>
      </w:r>
    </w:p>
    <w:p w14:paraId="307CBEE0"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A neural disorder distinguished by recurring, moderate to severe episodes of headaches, usually characterized by nausea, vomiting, and sensitivity to light or sound. Its type usually include migraine with aura and migraine without aura. It severely affects quality of life and daily functioning of life.</w:t>
      </w:r>
    </w:p>
    <w:p w14:paraId="3CB36261"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Pain:</w:t>
      </w:r>
    </w:p>
    <w:p w14:paraId="48D1F642"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A subjective, displeasing sensory and psychological experience accompanied with actual or possible damage to tissue. With the reference of migraine, pain is usually throbbing or pulsating in nature, which is often unilateral, and may range from 4 to 72 hours.</w:t>
      </w:r>
    </w:p>
    <w:p w14:paraId="39E125B5" w14:textId="77777777" w:rsidR="004D5CE1" w:rsidRPr="00EC3AAB" w:rsidRDefault="004D5CE1" w:rsidP="004D5CE1">
      <w:pPr>
        <w:spacing w:line="240" w:lineRule="auto"/>
        <w:jc w:val="both"/>
        <w:rPr>
          <w:rFonts w:asciiTheme="majorBidi" w:hAnsiTheme="majorBidi" w:cstheme="majorBidi"/>
          <w:sz w:val="22"/>
          <w:szCs w:val="20"/>
        </w:rPr>
      </w:pP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(Non-invasive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w:t>
      </w:r>
    </w:p>
    <w:p w14:paraId="0D706188" w14:textId="77777777" w:rsidR="004D5CE1" w:rsidRPr="00EC3AAB" w:rsidRDefault="004D5CE1" w:rsidP="004D5CE1">
      <w:pPr>
        <w:spacing w:line="240" w:lineRule="auto"/>
        <w:jc w:val="both"/>
        <w:rPr>
          <w:rFonts w:asciiTheme="majorBidi" w:hAnsiTheme="majorBidi" w:cstheme="majorBidi"/>
          <w:sz w:val="22"/>
          <w:szCs w:val="20"/>
        </w:rPr>
      </w:pP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is a non-intrusive </w:t>
      </w:r>
      <w:proofErr w:type="spellStart"/>
      <w:r w:rsidRPr="00EC3AAB">
        <w:rPr>
          <w:rFonts w:asciiTheme="majorBidi" w:hAnsiTheme="majorBidi" w:cstheme="majorBidi"/>
          <w:sz w:val="22"/>
          <w:szCs w:val="20"/>
        </w:rPr>
        <w:t>neuroregulation</w:t>
      </w:r>
      <w:proofErr w:type="spellEnd"/>
      <w:r w:rsidRPr="00EC3AAB">
        <w:rPr>
          <w:rFonts w:asciiTheme="majorBidi" w:hAnsiTheme="majorBidi" w:cstheme="majorBidi"/>
          <w:sz w:val="22"/>
          <w:szCs w:val="20"/>
        </w:rPr>
        <w:t xml:space="preserve"> technique that usually stimulates the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through the skin, especially at the site of neck. It is typically used as an alternate treatment for the management of migraine and cluster headaches. It typically modulates pain signals and decreases the frequency/intensity of attacks.</w:t>
      </w:r>
    </w:p>
    <w:p w14:paraId="2B5A4A8A" w14:textId="77777777" w:rsidR="004D5CE1" w:rsidRPr="00EC3AAB" w:rsidRDefault="004D5CE1" w:rsidP="004D5CE1">
      <w:pPr>
        <w:spacing w:line="240" w:lineRule="auto"/>
        <w:jc w:val="both"/>
        <w:rPr>
          <w:rFonts w:asciiTheme="majorBidi" w:hAnsiTheme="majorBidi" w:cstheme="majorBidi"/>
          <w:sz w:val="22"/>
          <w:szCs w:val="20"/>
        </w:rPr>
      </w:pP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(Transcutaneous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w:t>
      </w:r>
    </w:p>
    <w:p w14:paraId="41EA6973"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The non-invasive technique known as transcutaneous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involves sending electrical impulses through the skin to stimulate the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which can be on the outer ear (auricular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mostly. For </w:t>
      </w:r>
      <w:r w:rsidRPr="00EC3AAB">
        <w:rPr>
          <w:rFonts w:asciiTheme="majorBidi" w:hAnsiTheme="majorBidi" w:cstheme="majorBidi"/>
          <w:sz w:val="22"/>
          <w:szCs w:val="20"/>
        </w:rPr>
        <w:lastRenderedPageBreak/>
        <w:t xml:space="preserve">therapeutic or research purposes, it makes use of surface electrodes that are connected to a stimulation device such as TENS. Parameters like frequency, pulse width, and intensity are set. This method is a safer and cheaper alternative to invasive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which aims to activate vagal pathways in order to modulate brain activity and autonomic function.</w:t>
      </w:r>
    </w:p>
    <w:p w14:paraId="58DC2808"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TENS (Transcutaneous Electrical Nerve Stimulation):</w:t>
      </w:r>
    </w:p>
    <w:p w14:paraId="10F8B125"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TENS is a non-pharmacological pain relief treatment that uses low-voltage electrical impulses by applying electrodes on the skin. It helps reduces pain perception by blocking the signals of pain or releasing endorphins. TENS is sometimes used for migraine, musculoskeletal pain, and other chronic conditions. </w:t>
      </w:r>
    </w:p>
    <w:p w14:paraId="2FB0A40C"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Quality of Life:</w:t>
      </w:r>
    </w:p>
    <w:p w14:paraId="26921E67"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The study looks at excellence of life by using a validated questionnaire to evaluate physical, psychological, and social well-being. This approach helps us understand how migraine pain moves everyday activities, mood, and social interactions</w:t>
      </w:r>
      <w:bookmarkStart w:id="1" w:name="_Toc207537305"/>
    </w:p>
    <w:p w14:paraId="2A4FB9EF" w14:textId="77777777" w:rsidR="00C20780" w:rsidRDefault="00C20780" w:rsidP="004D5CE1">
      <w:pPr>
        <w:spacing w:line="240" w:lineRule="auto"/>
        <w:jc w:val="both"/>
        <w:rPr>
          <w:rFonts w:asciiTheme="majorBidi" w:hAnsiTheme="majorBidi" w:cstheme="majorBidi"/>
          <w:b/>
          <w:bCs/>
          <w:sz w:val="22"/>
          <w:szCs w:val="20"/>
        </w:rPr>
      </w:pPr>
    </w:p>
    <w:p w14:paraId="4EA5182E" w14:textId="7BB00228" w:rsidR="004D5CE1" w:rsidRPr="00C20780" w:rsidRDefault="004D5CE1" w:rsidP="004D5CE1">
      <w:pPr>
        <w:spacing w:line="240" w:lineRule="auto"/>
        <w:jc w:val="both"/>
        <w:rPr>
          <w:rFonts w:asciiTheme="majorBidi" w:hAnsiTheme="majorBidi" w:cstheme="majorBidi"/>
          <w:b/>
          <w:bCs/>
          <w:sz w:val="22"/>
          <w:szCs w:val="20"/>
        </w:rPr>
      </w:pPr>
      <w:r w:rsidRPr="00C20780">
        <w:rPr>
          <w:rFonts w:asciiTheme="majorBidi" w:hAnsiTheme="majorBidi" w:cstheme="majorBidi"/>
          <w:b/>
          <w:bCs/>
          <w:sz w:val="22"/>
          <w:szCs w:val="20"/>
        </w:rPr>
        <w:t>HYPOTHESIS</w:t>
      </w:r>
      <w:bookmarkEnd w:id="1"/>
    </w:p>
    <w:p w14:paraId="2E9D707B"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Null hypothesis</w:t>
      </w:r>
    </w:p>
    <w:p w14:paraId="68F0FB5E"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There is no difference in the comparative effectiveness of non-invasive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and non-invasive transcutaneous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on pain and quality of life (QOL) in patients of migraine</w:t>
      </w:r>
    </w:p>
    <w:p w14:paraId="7FE8396F"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Alternative hypothesis</w:t>
      </w:r>
    </w:p>
    <w:p w14:paraId="0AF053EF"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There is difference in the comparative effectiveness of non-invasive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and non-invasive transcutaneous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on pain and quality of life (QOL) in patients of migraine</w:t>
      </w:r>
    </w:p>
    <w:p w14:paraId="612E91D2" w14:textId="77777777" w:rsidR="00485B96" w:rsidRDefault="00485B96" w:rsidP="004D5CE1">
      <w:pPr>
        <w:spacing w:line="240" w:lineRule="auto"/>
        <w:jc w:val="both"/>
        <w:rPr>
          <w:rFonts w:asciiTheme="majorBidi" w:hAnsiTheme="majorBidi" w:cstheme="majorBidi"/>
          <w:sz w:val="22"/>
          <w:szCs w:val="20"/>
        </w:rPr>
      </w:pPr>
      <w:bookmarkStart w:id="2" w:name="_Toc207537307"/>
    </w:p>
    <w:p w14:paraId="40D0ADFF" w14:textId="620B28F1" w:rsidR="004D5CE1" w:rsidRPr="00485B96" w:rsidRDefault="004D5CE1" w:rsidP="004D5CE1">
      <w:pPr>
        <w:spacing w:line="240" w:lineRule="auto"/>
        <w:jc w:val="both"/>
        <w:rPr>
          <w:rFonts w:asciiTheme="majorBidi" w:hAnsiTheme="majorBidi" w:cstheme="majorBidi"/>
          <w:b/>
          <w:bCs/>
          <w:sz w:val="22"/>
          <w:szCs w:val="20"/>
        </w:rPr>
      </w:pPr>
      <w:r w:rsidRPr="00485B96">
        <w:rPr>
          <w:rFonts w:asciiTheme="majorBidi" w:hAnsiTheme="majorBidi" w:cstheme="majorBidi"/>
          <w:b/>
          <w:bCs/>
          <w:sz w:val="22"/>
          <w:szCs w:val="20"/>
        </w:rPr>
        <w:t>MATERIALS AND METHODS</w:t>
      </w:r>
      <w:bookmarkEnd w:id="2"/>
    </w:p>
    <w:p w14:paraId="20AFF5FE"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This randomized controlled trial was conducted over a period of six months after synopsis approval at the Comprehensive Rehabilitation Center (CRC), CMA, and various clinics in Lahore and Sheikhupura. Using non-probability convenience sampling, a total of 32 diagnosed migraine patients aged 18–75 years were recruited based on predefined inclusion and exclusion criteria; however, four participants dropped out due to personal reasons, resulting in a final sample of 28 participants. Sample size was calculated using G*Power/</w:t>
      </w:r>
      <w:proofErr w:type="spellStart"/>
      <w:r w:rsidRPr="00EC3AAB">
        <w:rPr>
          <w:rFonts w:asciiTheme="majorBidi" w:hAnsiTheme="majorBidi" w:cstheme="majorBidi"/>
          <w:sz w:val="22"/>
          <w:szCs w:val="20"/>
        </w:rPr>
        <w:t>OpenEpi</w:t>
      </w:r>
      <w:proofErr w:type="spellEnd"/>
      <w:r w:rsidRPr="00EC3AAB">
        <w:rPr>
          <w:rFonts w:asciiTheme="majorBidi" w:hAnsiTheme="majorBidi" w:cstheme="majorBidi"/>
          <w:sz w:val="22"/>
          <w:szCs w:val="20"/>
        </w:rPr>
        <w:t xml:space="preserve"> with a 95% confidence level and 0.95 statistical power. Participants were randomly allocated into two groups using computer-generated random numbers: Group A received non-invasive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applied to the neck using the </w:t>
      </w:r>
      <w:proofErr w:type="spellStart"/>
      <w:r w:rsidRPr="00EC3AAB">
        <w:rPr>
          <w:rFonts w:asciiTheme="majorBidi" w:hAnsiTheme="majorBidi" w:cstheme="majorBidi"/>
          <w:sz w:val="22"/>
          <w:szCs w:val="20"/>
        </w:rPr>
        <w:t>Truvaga</w:t>
      </w:r>
      <w:proofErr w:type="spellEnd"/>
      <w:r w:rsidRPr="00EC3AAB">
        <w:rPr>
          <w:rFonts w:asciiTheme="majorBidi" w:hAnsiTheme="majorBidi" w:cstheme="majorBidi"/>
          <w:sz w:val="22"/>
          <w:szCs w:val="20"/>
        </w:rPr>
        <w:t xml:space="preserve"> device for 2 minutes per session, twice daily, four days per week, while Group B received transcutaneous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via auricular stimulation at the tragus for 30 minutes per session, once daily, four days per week; both interventions were administered for 12 weeks. Single blinding was maintained, with outcome assessors blinded to group allocation. Ethical approval was obtained from Superior University, Lahore, written informed consent was taken, confidentiality and participant anonymity were ensured, and participants were informed of their right to withdraw at any time without penalty. Data were collected using validated tools including the Headache Impact Test-6 (HIT-6), Visual Analogue Scale (VAS), and Migraine Disability Assessment Questionnaire (MIDAS) to assess headache impact, pain intensity, and migraine-related disability, respectively.</w:t>
      </w:r>
      <w:bookmarkStart w:id="3" w:name="_Toc207537322"/>
    </w:p>
    <w:p w14:paraId="21797B51" w14:textId="77777777" w:rsidR="00FC2214" w:rsidRDefault="00FC2214" w:rsidP="004D5CE1">
      <w:pPr>
        <w:spacing w:line="240" w:lineRule="auto"/>
        <w:jc w:val="both"/>
        <w:rPr>
          <w:rFonts w:asciiTheme="majorBidi" w:hAnsiTheme="majorBidi" w:cstheme="majorBidi"/>
          <w:b/>
          <w:bCs/>
          <w:sz w:val="22"/>
          <w:szCs w:val="20"/>
        </w:rPr>
      </w:pPr>
    </w:p>
    <w:p w14:paraId="197CC966" w14:textId="1D60B12B" w:rsidR="004D5CE1" w:rsidRPr="001549E6" w:rsidRDefault="004D5CE1" w:rsidP="004D5CE1">
      <w:pPr>
        <w:spacing w:line="240" w:lineRule="auto"/>
        <w:jc w:val="both"/>
        <w:rPr>
          <w:rFonts w:asciiTheme="majorBidi" w:hAnsiTheme="majorBidi" w:cstheme="majorBidi"/>
          <w:b/>
          <w:bCs/>
          <w:sz w:val="22"/>
          <w:szCs w:val="20"/>
        </w:rPr>
      </w:pPr>
      <w:r w:rsidRPr="001549E6">
        <w:rPr>
          <w:rFonts w:asciiTheme="majorBidi" w:hAnsiTheme="majorBidi" w:cstheme="majorBidi"/>
          <w:b/>
          <w:bCs/>
          <w:sz w:val="22"/>
          <w:szCs w:val="20"/>
        </w:rPr>
        <w:t>RESULTS</w:t>
      </w:r>
      <w:bookmarkEnd w:id="3"/>
    </w:p>
    <w:p w14:paraId="63470367" w14:textId="77777777" w:rsidR="004D5CE1" w:rsidRPr="00EC3AAB" w:rsidRDefault="004D5CE1" w:rsidP="004D5CE1">
      <w:pPr>
        <w:spacing w:line="240" w:lineRule="auto"/>
        <w:jc w:val="both"/>
        <w:rPr>
          <w:rFonts w:asciiTheme="majorBidi" w:hAnsiTheme="majorBidi" w:cstheme="majorBidi"/>
          <w:sz w:val="22"/>
          <w:szCs w:val="20"/>
        </w:rPr>
      </w:pPr>
      <w:bookmarkStart w:id="4" w:name="_Toc207536419"/>
      <w:r w:rsidRPr="00EC3AAB">
        <w:rPr>
          <w:rFonts w:asciiTheme="majorBidi" w:hAnsiTheme="majorBidi" w:cstheme="majorBidi"/>
          <w:sz w:val="22"/>
          <w:szCs w:val="20"/>
        </w:rPr>
        <w:t xml:space="preserve">Table </w:t>
      </w:r>
      <w:r w:rsidRPr="00EC3AAB">
        <w:rPr>
          <w:rFonts w:asciiTheme="majorBidi" w:hAnsiTheme="majorBidi" w:cstheme="majorBidi"/>
          <w:sz w:val="22"/>
          <w:szCs w:val="20"/>
        </w:rPr>
        <w:fldChar w:fldCharType="begin"/>
      </w:r>
      <w:r w:rsidRPr="00EC3AAB">
        <w:rPr>
          <w:rFonts w:asciiTheme="majorBidi" w:hAnsiTheme="majorBidi" w:cstheme="majorBidi"/>
          <w:sz w:val="22"/>
          <w:szCs w:val="20"/>
        </w:rPr>
        <w:instrText xml:space="preserve"> SEQ Table_4. \* ARABIC </w:instrText>
      </w:r>
      <w:r w:rsidRPr="00EC3AAB">
        <w:rPr>
          <w:rFonts w:asciiTheme="majorBidi" w:hAnsiTheme="majorBidi" w:cstheme="majorBidi"/>
          <w:sz w:val="22"/>
          <w:szCs w:val="20"/>
        </w:rPr>
        <w:fldChar w:fldCharType="separate"/>
      </w:r>
      <w:r w:rsidRPr="00EC3AAB">
        <w:rPr>
          <w:rFonts w:asciiTheme="majorBidi" w:hAnsiTheme="majorBidi" w:cstheme="majorBidi"/>
          <w:sz w:val="22"/>
          <w:szCs w:val="20"/>
        </w:rPr>
        <w:t>1</w:t>
      </w:r>
      <w:r w:rsidRPr="00EC3AAB">
        <w:rPr>
          <w:rFonts w:asciiTheme="majorBidi" w:hAnsiTheme="majorBidi" w:cstheme="majorBidi"/>
          <w:sz w:val="22"/>
          <w:szCs w:val="20"/>
        </w:rPr>
        <w:fldChar w:fldCharType="end"/>
      </w:r>
      <w:r w:rsidRPr="00EC3AAB">
        <w:rPr>
          <w:rFonts w:asciiTheme="majorBidi" w:hAnsiTheme="majorBidi" w:cstheme="majorBidi"/>
          <w:sz w:val="22"/>
          <w:szCs w:val="20"/>
        </w:rPr>
        <w:t xml:space="preserve"> Descriptive statistics of age and BMI</w:t>
      </w:r>
      <w:bookmarkEnd w:id="4"/>
    </w:p>
    <w:tbl>
      <w:tblPr>
        <w:tblStyle w:val="TableGrid"/>
        <w:tblW w:w="5004" w:type="pct"/>
        <w:jc w:val="center"/>
        <w:tblLook w:val="04A0" w:firstRow="1" w:lastRow="0" w:firstColumn="1" w:lastColumn="0" w:noHBand="0" w:noVBand="1"/>
      </w:tblPr>
      <w:tblGrid>
        <w:gridCol w:w="3273"/>
        <w:gridCol w:w="3644"/>
        <w:gridCol w:w="4007"/>
      </w:tblGrid>
      <w:tr w:rsidR="004D5CE1" w:rsidRPr="00EC3AAB" w14:paraId="48C428A4" w14:textId="77777777" w:rsidTr="002232F4">
        <w:trPr>
          <w:trHeight w:val="388"/>
          <w:jc w:val="center"/>
        </w:trPr>
        <w:tc>
          <w:tcPr>
            <w:tcW w:w="1498" w:type="pct"/>
            <w:tcBorders>
              <w:top w:val="single" w:sz="4" w:space="0" w:color="auto"/>
              <w:left w:val="single" w:sz="4" w:space="0" w:color="auto"/>
              <w:bottom w:val="single" w:sz="4" w:space="0" w:color="auto"/>
              <w:right w:val="single" w:sz="4" w:space="0" w:color="auto"/>
            </w:tcBorders>
          </w:tcPr>
          <w:p w14:paraId="365A6CD9" w14:textId="77777777" w:rsidR="004D5CE1" w:rsidRPr="00EC3AAB" w:rsidRDefault="004D5CE1" w:rsidP="008A2944">
            <w:pPr>
              <w:jc w:val="both"/>
              <w:rPr>
                <w:rFonts w:asciiTheme="majorBidi" w:hAnsiTheme="majorBidi" w:cstheme="majorBidi"/>
                <w:sz w:val="22"/>
              </w:rPr>
            </w:pPr>
          </w:p>
          <w:p w14:paraId="460E7FEC" w14:textId="77777777" w:rsidR="004D5CE1" w:rsidRPr="00EC3AAB" w:rsidRDefault="004D5CE1" w:rsidP="008A2944">
            <w:pPr>
              <w:jc w:val="both"/>
              <w:rPr>
                <w:rFonts w:asciiTheme="majorBidi" w:hAnsiTheme="majorBidi" w:cstheme="majorBidi"/>
                <w:sz w:val="22"/>
              </w:rPr>
            </w:pPr>
          </w:p>
        </w:tc>
        <w:tc>
          <w:tcPr>
            <w:tcW w:w="1668" w:type="pct"/>
            <w:tcBorders>
              <w:top w:val="single" w:sz="4" w:space="0" w:color="auto"/>
              <w:left w:val="single" w:sz="4" w:space="0" w:color="auto"/>
              <w:bottom w:val="single" w:sz="4" w:space="0" w:color="auto"/>
              <w:right w:val="single" w:sz="4" w:space="0" w:color="auto"/>
            </w:tcBorders>
            <w:hideMark/>
          </w:tcPr>
          <w:p w14:paraId="354E5854"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Age</w:t>
            </w:r>
          </w:p>
          <w:p w14:paraId="199F4EF5"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Mean (S.D)</w:t>
            </w:r>
          </w:p>
        </w:tc>
        <w:tc>
          <w:tcPr>
            <w:tcW w:w="1834" w:type="pct"/>
            <w:tcBorders>
              <w:top w:val="single" w:sz="4" w:space="0" w:color="auto"/>
              <w:left w:val="single" w:sz="4" w:space="0" w:color="auto"/>
              <w:bottom w:val="single" w:sz="4" w:space="0" w:color="auto"/>
              <w:right w:val="single" w:sz="4" w:space="0" w:color="auto"/>
            </w:tcBorders>
            <w:hideMark/>
          </w:tcPr>
          <w:p w14:paraId="0FA4C893"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BMI</w:t>
            </w:r>
          </w:p>
          <w:p w14:paraId="3FAF7263"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Mean (S.D)</w:t>
            </w:r>
          </w:p>
        </w:tc>
      </w:tr>
      <w:tr w:rsidR="004D5CE1" w:rsidRPr="00EC3AAB" w14:paraId="7FF5D4EF" w14:textId="77777777" w:rsidTr="002232F4">
        <w:trPr>
          <w:trHeight w:val="194"/>
          <w:jc w:val="center"/>
        </w:trPr>
        <w:tc>
          <w:tcPr>
            <w:tcW w:w="1498" w:type="pct"/>
            <w:tcBorders>
              <w:top w:val="single" w:sz="4" w:space="0" w:color="auto"/>
              <w:left w:val="single" w:sz="4" w:space="0" w:color="auto"/>
              <w:bottom w:val="single" w:sz="4" w:space="0" w:color="auto"/>
              <w:right w:val="single" w:sz="4" w:space="0" w:color="auto"/>
            </w:tcBorders>
            <w:hideMark/>
          </w:tcPr>
          <w:p w14:paraId="2857EBE7" w14:textId="77777777" w:rsidR="004D5CE1" w:rsidRPr="00EC3AAB" w:rsidRDefault="004D5CE1" w:rsidP="008A2944">
            <w:pPr>
              <w:jc w:val="both"/>
              <w:rPr>
                <w:rFonts w:asciiTheme="majorBidi" w:hAnsiTheme="majorBidi" w:cstheme="majorBidi"/>
                <w:sz w:val="22"/>
              </w:rPr>
            </w:pPr>
            <w:proofErr w:type="spellStart"/>
            <w:r w:rsidRPr="00EC3AAB">
              <w:rPr>
                <w:rFonts w:asciiTheme="majorBidi" w:hAnsiTheme="majorBidi" w:cstheme="majorBidi"/>
                <w:sz w:val="22"/>
              </w:rPr>
              <w:t>nVNS</w:t>
            </w:r>
            <w:proofErr w:type="spellEnd"/>
          </w:p>
        </w:tc>
        <w:tc>
          <w:tcPr>
            <w:tcW w:w="1668" w:type="pct"/>
            <w:tcBorders>
              <w:top w:val="single" w:sz="4" w:space="0" w:color="auto"/>
              <w:left w:val="single" w:sz="4" w:space="0" w:color="auto"/>
              <w:bottom w:val="single" w:sz="4" w:space="0" w:color="auto"/>
              <w:right w:val="single" w:sz="4" w:space="0" w:color="auto"/>
            </w:tcBorders>
            <w:hideMark/>
          </w:tcPr>
          <w:p w14:paraId="5001CBF7"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34.86(14.271)</w:t>
            </w:r>
          </w:p>
        </w:tc>
        <w:tc>
          <w:tcPr>
            <w:tcW w:w="1834" w:type="pct"/>
            <w:tcBorders>
              <w:top w:val="single" w:sz="4" w:space="0" w:color="auto"/>
              <w:left w:val="single" w:sz="4" w:space="0" w:color="auto"/>
              <w:bottom w:val="single" w:sz="4" w:space="0" w:color="auto"/>
              <w:right w:val="single" w:sz="4" w:space="0" w:color="auto"/>
            </w:tcBorders>
            <w:hideMark/>
          </w:tcPr>
          <w:p w14:paraId="6FFAB4C5"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26.129(5.087)</w:t>
            </w:r>
          </w:p>
        </w:tc>
      </w:tr>
      <w:tr w:rsidR="004D5CE1" w:rsidRPr="00EC3AAB" w14:paraId="5B2F450B" w14:textId="77777777" w:rsidTr="002232F4">
        <w:trPr>
          <w:trHeight w:val="185"/>
          <w:jc w:val="center"/>
        </w:trPr>
        <w:tc>
          <w:tcPr>
            <w:tcW w:w="1498" w:type="pct"/>
            <w:tcBorders>
              <w:top w:val="single" w:sz="4" w:space="0" w:color="auto"/>
              <w:left w:val="single" w:sz="4" w:space="0" w:color="auto"/>
              <w:bottom w:val="single" w:sz="4" w:space="0" w:color="auto"/>
              <w:right w:val="single" w:sz="4" w:space="0" w:color="auto"/>
            </w:tcBorders>
            <w:hideMark/>
          </w:tcPr>
          <w:p w14:paraId="14F6E045" w14:textId="77777777" w:rsidR="004D5CE1" w:rsidRPr="00EC3AAB" w:rsidRDefault="004D5CE1" w:rsidP="008A2944">
            <w:pPr>
              <w:jc w:val="both"/>
              <w:rPr>
                <w:rFonts w:asciiTheme="majorBidi" w:hAnsiTheme="majorBidi" w:cstheme="majorBidi"/>
                <w:sz w:val="22"/>
              </w:rPr>
            </w:pPr>
            <w:proofErr w:type="spellStart"/>
            <w:r w:rsidRPr="00EC3AAB">
              <w:rPr>
                <w:rFonts w:asciiTheme="majorBidi" w:hAnsiTheme="majorBidi" w:cstheme="majorBidi"/>
                <w:sz w:val="22"/>
              </w:rPr>
              <w:t>tVNS</w:t>
            </w:r>
            <w:proofErr w:type="spellEnd"/>
          </w:p>
        </w:tc>
        <w:tc>
          <w:tcPr>
            <w:tcW w:w="1668" w:type="pct"/>
            <w:tcBorders>
              <w:top w:val="single" w:sz="4" w:space="0" w:color="auto"/>
              <w:left w:val="single" w:sz="4" w:space="0" w:color="auto"/>
              <w:bottom w:val="single" w:sz="4" w:space="0" w:color="auto"/>
              <w:right w:val="single" w:sz="4" w:space="0" w:color="auto"/>
            </w:tcBorders>
            <w:hideMark/>
          </w:tcPr>
          <w:p w14:paraId="5E066BE4"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33.00(12.944)</w:t>
            </w:r>
          </w:p>
        </w:tc>
        <w:tc>
          <w:tcPr>
            <w:tcW w:w="1834" w:type="pct"/>
            <w:tcBorders>
              <w:top w:val="single" w:sz="4" w:space="0" w:color="auto"/>
              <w:left w:val="single" w:sz="4" w:space="0" w:color="auto"/>
              <w:bottom w:val="single" w:sz="4" w:space="0" w:color="auto"/>
              <w:right w:val="single" w:sz="4" w:space="0" w:color="auto"/>
            </w:tcBorders>
            <w:hideMark/>
          </w:tcPr>
          <w:p w14:paraId="3765E5D7"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24.407(4.178)</w:t>
            </w:r>
          </w:p>
        </w:tc>
      </w:tr>
    </w:tbl>
    <w:p w14:paraId="0E9E5BD3"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The demographic data show that the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group had a somewhat older mean age of 34.86 years (SD = 14.27), compared to 33.00 years (SD = 12.94) in the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(Transcutaneous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group. Despite the slight age difference, the standard deviations indicate a wide age range in both groups, which may influence treatment outcomes. Age influences neuronal plasticity, pain sensitivity, and the efficacy of </w:t>
      </w:r>
      <w:proofErr w:type="spellStart"/>
      <w:r w:rsidRPr="00EC3AAB">
        <w:rPr>
          <w:rFonts w:asciiTheme="majorBidi" w:hAnsiTheme="majorBidi" w:cstheme="majorBidi"/>
          <w:sz w:val="22"/>
          <w:szCs w:val="20"/>
        </w:rPr>
        <w:t>neuromodulatory</w:t>
      </w:r>
      <w:proofErr w:type="spellEnd"/>
      <w:r w:rsidRPr="00EC3AAB">
        <w:rPr>
          <w:rFonts w:asciiTheme="majorBidi" w:hAnsiTheme="majorBidi" w:cstheme="majorBidi"/>
          <w:sz w:val="22"/>
          <w:szCs w:val="20"/>
        </w:rPr>
        <w:t xml:space="preserve"> therapies such as VNS. </w:t>
      </w:r>
    </w:p>
    <w:p w14:paraId="6C356000"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In terms of Body Mass Index (BMI), the VNS group had a higher mean BMI of 26.13 (SD = 5.08), putting them in the overweight category, whereas the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group had a mean BMI of 24.41 (SD = 4.18), which is normal. A high BMI can affect pain perception, autonomic function, and sensitivity to physical therapy therapies. Overweight people frequently face increased mechanical stress and systemic inflammation, which might impair the efficacy of </w:t>
      </w:r>
      <w:proofErr w:type="spellStart"/>
      <w:r w:rsidRPr="00EC3AAB">
        <w:rPr>
          <w:rFonts w:asciiTheme="majorBidi" w:hAnsiTheme="majorBidi" w:cstheme="majorBidi"/>
          <w:sz w:val="22"/>
          <w:szCs w:val="20"/>
        </w:rPr>
        <w:t>neuromodulatory</w:t>
      </w:r>
      <w:proofErr w:type="spellEnd"/>
      <w:r w:rsidRPr="00EC3AAB">
        <w:rPr>
          <w:rFonts w:asciiTheme="majorBidi" w:hAnsiTheme="majorBidi" w:cstheme="majorBidi"/>
          <w:sz w:val="22"/>
          <w:szCs w:val="20"/>
        </w:rPr>
        <w:t xml:space="preserve"> treatments. </w:t>
      </w:r>
    </w:p>
    <w:p w14:paraId="56B0E299" w14:textId="77777777" w:rsidR="004D5CE1" w:rsidRPr="00EC3AAB" w:rsidRDefault="004D5CE1" w:rsidP="004D5CE1">
      <w:pPr>
        <w:spacing w:line="240" w:lineRule="auto"/>
        <w:jc w:val="both"/>
        <w:rPr>
          <w:rFonts w:asciiTheme="majorBidi" w:hAnsiTheme="majorBidi" w:cstheme="majorBidi"/>
          <w:sz w:val="22"/>
          <w:szCs w:val="20"/>
        </w:rPr>
      </w:pPr>
    </w:p>
    <w:p w14:paraId="5AF1F87F" w14:textId="77777777" w:rsidR="004D5CE1" w:rsidRPr="00EC3AAB" w:rsidRDefault="004D5CE1" w:rsidP="004D5CE1">
      <w:pPr>
        <w:spacing w:line="240" w:lineRule="auto"/>
        <w:jc w:val="both"/>
        <w:rPr>
          <w:rFonts w:asciiTheme="majorBidi" w:hAnsiTheme="majorBidi" w:cstheme="majorBidi"/>
          <w:sz w:val="22"/>
          <w:szCs w:val="20"/>
        </w:rPr>
      </w:pPr>
      <w:bookmarkStart w:id="5" w:name="_Toc207536421"/>
      <w:r w:rsidRPr="00EC3AAB">
        <w:rPr>
          <w:rFonts w:asciiTheme="majorBidi" w:hAnsiTheme="majorBidi" w:cstheme="majorBidi"/>
          <w:sz w:val="22"/>
          <w:szCs w:val="20"/>
        </w:rPr>
        <w:lastRenderedPageBreak/>
        <w:t>Table 2 Test of normality</w:t>
      </w:r>
      <w:bookmarkEnd w:id="5"/>
    </w:p>
    <w:tbl>
      <w:tblPr>
        <w:tblW w:w="50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56"/>
        <w:gridCol w:w="1993"/>
        <w:gridCol w:w="1993"/>
        <w:gridCol w:w="1995"/>
      </w:tblGrid>
      <w:tr w:rsidR="004D5CE1" w:rsidRPr="00EC3AAB" w14:paraId="68D78129" w14:textId="77777777" w:rsidTr="002232F4">
        <w:trPr>
          <w:cantSplit/>
          <w:trHeight w:val="189"/>
          <w:jc w:val="center"/>
        </w:trPr>
        <w:tc>
          <w:tcPr>
            <w:tcW w:w="2215" w:type="pct"/>
            <w:vMerge w:val="restart"/>
            <w:tcBorders>
              <w:top w:val="single" w:sz="4" w:space="0" w:color="auto"/>
              <w:left w:val="single" w:sz="4" w:space="0" w:color="auto"/>
              <w:bottom w:val="single" w:sz="4" w:space="0" w:color="auto"/>
              <w:right w:val="single" w:sz="4" w:space="0" w:color="auto"/>
            </w:tcBorders>
            <w:vAlign w:val="bottom"/>
          </w:tcPr>
          <w:p w14:paraId="0FD71614" w14:textId="77777777" w:rsidR="004D5CE1" w:rsidRPr="00EC3AAB" w:rsidRDefault="004D5CE1" w:rsidP="008A2944">
            <w:pPr>
              <w:spacing w:line="240" w:lineRule="auto"/>
              <w:jc w:val="both"/>
              <w:rPr>
                <w:rFonts w:asciiTheme="majorBidi" w:hAnsiTheme="majorBidi" w:cstheme="majorBidi"/>
                <w:sz w:val="22"/>
                <w:szCs w:val="20"/>
              </w:rPr>
            </w:pPr>
          </w:p>
        </w:tc>
        <w:tc>
          <w:tcPr>
            <w:tcW w:w="2785" w:type="pct"/>
            <w:gridSpan w:val="3"/>
            <w:tcBorders>
              <w:top w:val="single" w:sz="4" w:space="0" w:color="auto"/>
              <w:left w:val="single" w:sz="4" w:space="0" w:color="auto"/>
              <w:bottom w:val="single" w:sz="4" w:space="0" w:color="auto"/>
              <w:right w:val="single" w:sz="4" w:space="0" w:color="auto"/>
            </w:tcBorders>
            <w:vAlign w:val="bottom"/>
            <w:hideMark/>
          </w:tcPr>
          <w:p w14:paraId="4976ACFF"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Shapiro-Wilk</w:t>
            </w:r>
          </w:p>
        </w:tc>
      </w:tr>
      <w:tr w:rsidR="004D5CE1" w:rsidRPr="00EC3AAB" w14:paraId="78B002F2" w14:textId="77777777" w:rsidTr="002232F4">
        <w:trPr>
          <w:cantSplit/>
          <w:trHeight w:val="86"/>
          <w:jc w:val="center"/>
        </w:trPr>
        <w:tc>
          <w:tcPr>
            <w:tcW w:w="2215" w:type="pct"/>
            <w:vMerge/>
            <w:tcBorders>
              <w:top w:val="single" w:sz="4" w:space="0" w:color="auto"/>
              <w:left w:val="single" w:sz="4" w:space="0" w:color="auto"/>
              <w:bottom w:val="single" w:sz="4" w:space="0" w:color="auto"/>
              <w:right w:val="single" w:sz="4" w:space="0" w:color="auto"/>
            </w:tcBorders>
            <w:vAlign w:val="center"/>
            <w:hideMark/>
          </w:tcPr>
          <w:p w14:paraId="2E82E986" w14:textId="77777777" w:rsidR="004D5CE1" w:rsidRPr="00EC3AAB" w:rsidRDefault="004D5CE1" w:rsidP="008A2944">
            <w:pPr>
              <w:spacing w:line="240" w:lineRule="auto"/>
              <w:jc w:val="both"/>
              <w:rPr>
                <w:rFonts w:asciiTheme="majorBidi" w:hAnsiTheme="majorBidi" w:cstheme="majorBidi"/>
                <w:sz w:val="22"/>
                <w:szCs w:val="20"/>
                <w:lang w:val="en-GB"/>
              </w:rPr>
            </w:pPr>
          </w:p>
        </w:tc>
        <w:tc>
          <w:tcPr>
            <w:tcW w:w="928" w:type="pct"/>
            <w:tcBorders>
              <w:top w:val="single" w:sz="4" w:space="0" w:color="auto"/>
              <w:left w:val="single" w:sz="4" w:space="0" w:color="auto"/>
              <w:bottom w:val="single" w:sz="4" w:space="0" w:color="auto"/>
              <w:right w:val="single" w:sz="4" w:space="0" w:color="auto"/>
            </w:tcBorders>
            <w:vAlign w:val="bottom"/>
            <w:hideMark/>
          </w:tcPr>
          <w:p w14:paraId="6F45752C"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Statistic</w:t>
            </w:r>
          </w:p>
        </w:tc>
        <w:tc>
          <w:tcPr>
            <w:tcW w:w="928" w:type="pct"/>
            <w:tcBorders>
              <w:top w:val="single" w:sz="4" w:space="0" w:color="auto"/>
              <w:left w:val="single" w:sz="4" w:space="0" w:color="auto"/>
              <w:bottom w:val="single" w:sz="4" w:space="0" w:color="auto"/>
              <w:right w:val="single" w:sz="4" w:space="0" w:color="auto"/>
            </w:tcBorders>
            <w:vAlign w:val="bottom"/>
            <w:hideMark/>
          </w:tcPr>
          <w:p w14:paraId="56ACFB5D" w14:textId="77777777" w:rsidR="004D5CE1" w:rsidRPr="00EC3AAB" w:rsidRDefault="004D5CE1" w:rsidP="008A2944">
            <w:pPr>
              <w:spacing w:line="240" w:lineRule="auto"/>
              <w:jc w:val="both"/>
              <w:rPr>
                <w:rFonts w:asciiTheme="majorBidi" w:hAnsiTheme="majorBidi" w:cstheme="majorBidi"/>
                <w:sz w:val="22"/>
                <w:szCs w:val="20"/>
              </w:rPr>
            </w:pPr>
            <w:proofErr w:type="spellStart"/>
            <w:r w:rsidRPr="00EC3AAB">
              <w:rPr>
                <w:rFonts w:asciiTheme="majorBidi" w:hAnsiTheme="majorBidi" w:cstheme="majorBidi"/>
                <w:sz w:val="22"/>
                <w:szCs w:val="20"/>
              </w:rPr>
              <w:t>df</w:t>
            </w:r>
            <w:proofErr w:type="spellEnd"/>
          </w:p>
        </w:tc>
        <w:tc>
          <w:tcPr>
            <w:tcW w:w="929" w:type="pct"/>
            <w:tcBorders>
              <w:top w:val="single" w:sz="4" w:space="0" w:color="auto"/>
              <w:left w:val="single" w:sz="4" w:space="0" w:color="auto"/>
              <w:bottom w:val="single" w:sz="4" w:space="0" w:color="auto"/>
              <w:right w:val="single" w:sz="4" w:space="0" w:color="auto"/>
            </w:tcBorders>
            <w:vAlign w:val="bottom"/>
            <w:hideMark/>
          </w:tcPr>
          <w:p w14:paraId="45340BA8"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Sig.</w:t>
            </w:r>
          </w:p>
        </w:tc>
      </w:tr>
      <w:tr w:rsidR="004D5CE1" w:rsidRPr="00EC3AAB" w14:paraId="74F1070C" w14:textId="77777777" w:rsidTr="002232F4">
        <w:trPr>
          <w:cantSplit/>
          <w:trHeight w:val="50"/>
          <w:jc w:val="center"/>
        </w:trPr>
        <w:tc>
          <w:tcPr>
            <w:tcW w:w="2215" w:type="pct"/>
            <w:tcBorders>
              <w:top w:val="single" w:sz="4" w:space="0" w:color="auto"/>
              <w:left w:val="single" w:sz="4" w:space="0" w:color="auto"/>
              <w:bottom w:val="single" w:sz="4" w:space="0" w:color="auto"/>
              <w:right w:val="single" w:sz="4" w:space="0" w:color="auto"/>
            </w:tcBorders>
            <w:hideMark/>
          </w:tcPr>
          <w:p w14:paraId="136DF2BB"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pretreatment visual analogue value</w:t>
            </w:r>
          </w:p>
        </w:tc>
        <w:tc>
          <w:tcPr>
            <w:tcW w:w="928" w:type="pct"/>
            <w:tcBorders>
              <w:top w:val="single" w:sz="4" w:space="0" w:color="auto"/>
              <w:left w:val="single" w:sz="4" w:space="0" w:color="auto"/>
              <w:bottom w:val="single" w:sz="4" w:space="0" w:color="auto"/>
              <w:right w:val="single" w:sz="4" w:space="0" w:color="auto"/>
            </w:tcBorders>
            <w:hideMark/>
          </w:tcPr>
          <w:p w14:paraId="7C05AA4D"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.907</w:t>
            </w:r>
          </w:p>
        </w:tc>
        <w:tc>
          <w:tcPr>
            <w:tcW w:w="928" w:type="pct"/>
            <w:tcBorders>
              <w:top w:val="single" w:sz="4" w:space="0" w:color="auto"/>
              <w:left w:val="single" w:sz="4" w:space="0" w:color="auto"/>
              <w:bottom w:val="single" w:sz="4" w:space="0" w:color="auto"/>
              <w:right w:val="single" w:sz="4" w:space="0" w:color="auto"/>
            </w:tcBorders>
            <w:hideMark/>
          </w:tcPr>
          <w:p w14:paraId="006338EC"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28</w:t>
            </w:r>
          </w:p>
        </w:tc>
        <w:tc>
          <w:tcPr>
            <w:tcW w:w="929" w:type="pct"/>
            <w:tcBorders>
              <w:top w:val="single" w:sz="4" w:space="0" w:color="auto"/>
              <w:left w:val="single" w:sz="4" w:space="0" w:color="auto"/>
              <w:bottom w:val="single" w:sz="4" w:space="0" w:color="auto"/>
              <w:right w:val="single" w:sz="4" w:space="0" w:color="auto"/>
            </w:tcBorders>
            <w:hideMark/>
          </w:tcPr>
          <w:p w14:paraId="798B6D67"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.017</w:t>
            </w:r>
          </w:p>
        </w:tc>
      </w:tr>
      <w:tr w:rsidR="004D5CE1" w:rsidRPr="00EC3AAB" w14:paraId="69720E4B" w14:textId="77777777" w:rsidTr="002232F4">
        <w:trPr>
          <w:cantSplit/>
          <w:trHeight w:val="189"/>
          <w:jc w:val="center"/>
        </w:trPr>
        <w:tc>
          <w:tcPr>
            <w:tcW w:w="2215" w:type="pct"/>
            <w:tcBorders>
              <w:top w:val="single" w:sz="4" w:space="0" w:color="auto"/>
              <w:left w:val="single" w:sz="4" w:space="0" w:color="auto"/>
              <w:bottom w:val="single" w:sz="4" w:space="0" w:color="auto"/>
              <w:right w:val="single" w:sz="4" w:space="0" w:color="auto"/>
            </w:tcBorders>
            <w:hideMark/>
          </w:tcPr>
          <w:p w14:paraId="5DA83E89"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pre treatmenthit-6 value</w:t>
            </w:r>
          </w:p>
        </w:tc>
        <w:tc>
          <w:tcPr>
            <w:tcW w:w="928" w:type="pct"/>
            <w:tcBorders>
              <w:top w:val="single" w:sz="4" w:space="0" w:color="auto"/>
              <w:left w:val="single" w:sz="4" w:space="0" w:color="auto"/>
              <w:bottom w:val="single" w:sz="4" w:space="0" w:color="auto"/>
              <w:right w:val="single" w:sz="4" w:space="0" w:color="auto"/>
            </w:tcBorders>
            <w:hideMark/>
          </w:tcPr>
          <w:p w14:paraId="1A73EC42"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.966</w:t>
            </w:r>
          </w:p>
        </w:tc>
        <w:tc>
          <w:tcPr>
            <w:tcW w:w="928" w:type="pct"/>
            <w:tcBorders>
              <w:top w:val="single" w:sz="4" w:space="0" w:color="auto"/>
              <w:left w:val="single" w:sz="4" w:space="0" w:color="auto"/>
              <w:bottom w:val="single" w:sz="4" w:space="0" w:color="auto"/>
              <w:right w:val="single" w:sz="4" w:space="0" w:color="auto"/>
            </w:tcBorders>
            <w:hideMark/>
          </w:tcPr>
          <w:p w14:paraId="6C3B5553"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28</w:t>
            </w:r>
          </w:p>
        </w:tc>
        <w:tc>
          <w:tcPr>
            <w:tcW w:w="929" w:type="pct"/>
            <w:tcBorders>
              <w:top w:val="single" w:sz="4" w:space="0" w:color="auto"/>
              <w:left w:val="single" w:sz="4" w:space="0" w:color="auto"/>
              <w:bottom w:val="single" w:sz="4" w:space="0" w:color="auto"/>
              <w:right w:val="single" w:sz="4" w:space="0" w:color="auto"/>
            </w:tcBorders>
            <w:hideMark/>
          </w:tcPr>
          <w:p w14:paraId="3B453794"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.042</w:t>
            </w:r>
          </w:p>
        </w:tc>
      </w:tr>
      <w:tr w:rsidR="004D5CE1" w:rsidRPr="00EC3AAB" w14:paraId="747CF7E7" w14:textId="77777777" w:rsidTr="002232F4">
        <w:trPr>
          <w:cantSplit/>
          <w:trHeight w:val="198"/>
          <w:jc w:val="center"/>
        </w:trPr>
        <w:tc>
          <w:tcPr>
            <w:tcW w:w="2215" w:type="pct"/>
            <w:tcBorders>
              <w:top w:val="single" w:sz="4" w:space="0" w:color="auto"/>
              <w:left w:val="single" w:sz="4" w:space="0" w:color="auto"/>
              <w:bottom w:val="single" w:sz="4" w:space="0" w:color="auto"/>
              <w:right w:val="single" w:sz="4" w:space="0" w:color="auto"/>
            </w:tcBorders>
            <w:hideMark/>
          </w:tcPr>
          <w:p w14:paraId="579B31CE"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pretreatment Midas value</w:t>
            </w:r>
          </w:p>
        </w:tc>
        <w:tc>
          <w:tcPr>
            <w:tcW w:w="928" w:type="pct"/>
            <w:tcBorders>
              <w:top w:val="single" w:sz="4" w:space="0" w:color="auto"/>
              <w:left w:val="single" w:sz="4" w:space="0" w:color="auto"/>
              <w:bottom w:val="single" w:sz="4" w:space="0" w:color="auto"/>
              <w:right w:val="single" w:sz="4" w:space="0" w:color="auto"/>
            </w:tcBorders>
            <w:hideMark/>
          </w:tcPr>
          <w:p w14:paraId="77D28E83"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.918</w:t>
            </w:r>
          </w:p>
        </w:tc>
        <w:tc>
          <w:tcPr>
            <w:tcW w:w="928" w:type="pct"/>
            <w:tcBorders>
              <w:top w:val="single" w:sz="4" w:space="0" w:color="auto"/>
              <w:left w:val="single" w:sz="4" w:space="0" w:color="auto"/>
              <w:bottom w:val="single" w:sz="4" w:space="0" w:color="auto"/>
              <w:right w:val="single" w:sz="4" w:space="0" w:color="auto"/>
            </w:tcBorders>
            <w:hideMark/>
          </w:tcPr>
          <w:p w14:paraId="63B24042"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28</w:t>
            </w:r>
          </w:p>
        </w:tc>
        <w:tc>
          <w:tcPr>
            <w:tcW w:w="929" w:type="pct"/>
            <w:tcBorders>
              <w:top w:val="single" w:sz="4" w:space="0" w:color="auto"/>
              <w:left w:val="single" w:sz="4" w:space="0" w:color="auto"/>
              <w:bottom w:val="single" w:sz="4" w:space="0" w:color="auto"/>
              <w:right w:val="single" w:sz="4" w:space="0" w:color="auto"/>
            </w:tcBorders>
            <w:hideMark/>
          </w:tcPr>
          <w:p w14:paraId="485809CE" w14:textId="77777777" w:rsidR="004D5CE1" w:rsidRPr="00EC3AAB" w:rsidRDefault="004D5CE1" w:rsidP="008A2944">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.031</w:t>
            </w:r>
          </w:p>
        </w:tc>
      </w:tr>
    </w:tbl>
    <w:p w14:paraId="0D259934"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The Shapiro-Wilk test was used to determine the normality of the pre-treatment scores for VAS (Visual Analogue Scale), HIT-6 (Headache Impact Test), and MIDAS (Migraine Disability Assessment). The results showed that all three variables varied significantly from the normal distribution. The p-values for VAS (p =.017), HIT-6 (p =.042), and MIDAS (p =.031) all fell below the customary threshold of 0.05. This implies that the assumption of normality is broken by each of these pre-treatment metrics. Based on these findings, the data do not meet the criteria for parametric statistical tests that assume a normal distribution. As a result, non-parametric approaches like the Mann-Whitney U test (for between-group comparisons) or the Wilcoxon signed-rank test (for within-group comparisons) are more suited for analyzing pre-treatment scores. These tests will confirm the reliability and validity of the statistical conclusions generated from the data.</w:t>
      </w:r>
    </w:p>
    <w:p w14:paraId="7673184F" w14:textId="77777777" w:rsidR="004D5CE1" w:rsidRPr="00EC3AAB" w:rsidRDefault="004D5CE1" w:rsidP="004D5CE1">
      <w:pPr>
        <w:spacing w:line="240" w:lineRule="auto"/>
        <w:jc w:val="both"/>
        <w:rPr>
          <w:rFonts w:asciiTheme="majorBidi" w:hAnsiTheme="majorBidi" w:cstheme="majorBidi"/>
          <w:sz w:val="22"/>
          <w:szCs w:val="20"/>
        </w:rPr>
      </w:pPr>
    </w:p>
    <w:p w14:paraId="38788649" w14:textId="77777777" w:rsidR="004D5CE1" w:rsidRPr="00EC3AAB" w:rsidRDefault="004D5CE1" w:rsidP="004D5CE1">
      <w:pPr>
        <w:spacing w:line="240" w:lineRule="auto"/>
        <w:jc w:val="both"/>
        <w:rPr>
          <w:rFonts w:asciiTheme="majorBidi" w:hAnsiTheme="majorBidi" w:cstheme="majorBidi"/>
          <w:sz w:val="22"/>
          <w:szCs w:val="20"/>
        </w:rPr>
      </w:pPr>
      <w:bookmarkStart w:id="6" w:name="_Toc207536422"/>
      <w:r w:rsidRPr="00EC3AAB">
        <w:rPr>
          <w:rFonts w:asciiTheme="majorBidi" w:hAnsiTheme="majorBidi" w:cstheme="majorBidi"/>
          <w:sz w:val="22"/>
          <w:szCs w:val="20"/>
        </w:rPr>
        <w:t xml:space="preserve">Table 3 Wilcoxon sign rank test within group analysis of </w:t>
      </w:r>
      <w:proofErr w:type="spellStart"/>
      <w:r w:rsidRPr="00EC3AAB">
        <w:rPr>
          <w:rFonts w:asciiTheme="majorBidi" w:hAnsiTheme="majorBidi" w:cstheme="majorBidi"/>
          <w:sz w:val="22"/>
          <w:szCs w:val="20"/>
        </w:rPr>
        <w:t>tVNS</w:t>
      </w:r>
      <w:bookmarkEnd w:id="6"/>
      <w:proofErr w:type="spellEnd"/>
    </w:p>
    <w:tbl>
      <w:tblPr>
        <w:tblStyle w:val="TableGrid"/>
        <w:tblW w:w="5004" w:type="pct"/>
        <w:jc w:val="center"/>
        <w:tblLook w:val="04A0" w:firstRow="1" w:lastRow="0" w:firstColumn="1" w:lastColumn="0" w:noHBand="0" w:noVBand="1"/>
      </w:tblPr>
      <w:tblGrid>
        <w:gridCol w:w="2731"/>
        <w:gridCol w:w="2731"/>
        <w:gridCol w:w="2731"/>
        <w:gridCol w:w="2731"/>
      </w:tblGrid>
      <w:tr w:rsidR="004D5CE1" w:rsidRPr="00EC3AAB" w14:paraId="3B2E0EF7" w14:textId="77777777" w:rsidTr="002232F4">
        <w:trPr>
          <w:trHeight w:val="343"/>
          <w:jc w:val="center"/>
        </w:trPr>
        <w:tc>
          <w:tcPr>
            <w:tcW w:w="1250" w:type="pct"/>
            <w:tcBorders>
              <w:top w:val="single" w:sz="4" w:space="0" w:color="auto"/>
              <w:left w:val="single" w:sz="4" w:space="0" w:color="auto"/>
              <w:bottom w:val="single" w:sz="4" w:space="0" w:color="auto"/>
              <w:right w:val="single" w:sz="4" w:space="0" w:color="auto"/>
            </w:tcBorders>
          </w:tcPr>
          <w:p w14:paraId="02C47477" w14:textId="77777777" w:rsidR="004D5CE1" w:rsidRPr="00EC3AAB" w:rsidRDefault="004D5CE1" w:rsidP="008A2944">
            <w:pPr>
              <w:jc w:val="both"/>
              <w:rPr>
                <w:rFonts w:asciiTheme="majorBidi" w:hAnsiTheme="majorBidi" w:cstheme="majorBidi"/>
                <w:sz w:val="22"/>
              </w:rPr>
            </w:pPr>
          </w:p>
        </w:tc>
        <w:tc>
          <w:tcPr>
            <w:tcW w:w="1250" w:type="pct"/>
            <w:tcBorders>
              <w:top w:val="single" w:sz="4" w:space="0" w:color="auto"/>
              <w:left w:val="single" w:sz="4" w:space="0" w:color="auto"/>
              <w:bottom w:val="single" w:sz="4" w:space="0" w:color="auto"/>
              <w:right w:val="single" w:sz="4" w:space="0" w:color="auto"/>
            </w:tcBorders>
            <w:hideMark/>
          </w:tcPr>
          <w:p w14:paraId="45B4B9D2"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Pre</w:t>
            </w:r>
          </w:p>
          <w:p w14:paraId="414976CC"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Median</w:t>
            </w:r>
          </w:p>
          <w:p w14:paraId="3A5F41DB"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Q1-Q3</w:t>
            </w:r>
          </w:p>
        </w:tc>
        <w:tc>
          <w:tcPr>
            <w:tcW w:w="1250" w:type="pct"/>
            <w:tcBorders>
              <w:top w:val="single" w:sz="4" w:space="0" w:color="auto"/>
              <w:left w:val="single" w:sz="4" w:space="0" w:color="auto"/>
              <w:bottom w:val="single" w:sz="4" w:space="0" w:color="auto"/>
              <w:right w:val="single" w:sz="4" w:space="0" w:color="auto"/>
            </w:tcBorders>
            <w:hideMark/>
          </w:tcPr>
          <w:p w14:paraId="736E4EEA"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Post</w:t>
            </w:r>
          </w:p>
          <w:p w14:paraId="69D65779"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Median</w:t>
            </w:r>
          </w:p>
          <w:p w14:paraId="5EE6AF85"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Q1-Q3</w:t>
            </w:r>
          </w:p>
        </w:tc>
        <w:tc>
          <w:tcPr>
            <w:tcW w:w="1250" w:type="pct"/>
            <w:tcBorders>
              <w:top w:val="single" w:sz="4" w:space="0" w:color="auto"/>
              <w:left w:val="single" w:sz="4" w:space="0" w:color="auto"/>
              <w:bottom w:val="single" w:sz="4" w:space="0" w:color="auto"/>
              <w:right w:val="single" w:sz="4" w:space="0" w:color="auto"/>
            </w:tcBorders>
            <w:hideMark/>
          </w:tcPr>
          <w:p w14:paraId="52E8771A"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p-value</w:t>
            </w:r>
          </w:p>
        </w:tc>
      </w:tr>
      <w:tr w:rsidR="004D5CE1" w:rsidRPr="00EC3AAB" w14:paraId="2DF9828B" w14:textId="77777777" w:rsidTr="002232F4">
        <w:trPr>
          <w:trHeight w:val="228"/>
          <w:jc w:val="center"/>
        </w:trPr>
        <w:tc>
          <w:tcPr>
            <w:tcW w:w="1250" w:type="pct"/>
            <w:tcBorders>
              <w:top w:val="single" w:sz="4" w:space="0" w:color="auto"/>
              <w:left w:val="single" w:sz="4" w:space="0" w:color="auto"/>
              <w:bottom w:val="single" w:sz="4" w:space="0" w:color="auto"/>
              <w:right w:val="single" w:sz="4" w:space="0" w:color="auto"/>
            </w:tcBorders>
            <w:hideMark/>
          </w:tcPr>
          <w:p w14:paraId="7100F07F"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VAS</w:t>
            </w:r>
          </w:p>
        </w:tc>
        <w:tc>
          <w:tcPr>
            <w:tcW w:w="1250" w:type="pct"/>
            <w:tcBorders>
              <w:top w:val="single" w:sz="4" w:space="0" w:color="auto"/>
              <w:left w:val="single" w:sz="4" w:space="0" w:color="auto"/>
              <w:bottom w:val="single" w:sz="4" w:space="0" w:color="auto"/>
              <w:right w:val="single" w:sz="4" w:space="0" w:color="auto"/>
            </w:tcBorders>
            <w:hideMark/>
          </w:tcPr>
          <w:p w14:paraId="4C171F03"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8.00</w:t>
            </w:r>
          </w:p>
          <w:p w14:paraId="2E0D9F11"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7.75-8.25</w:t>
            </w:r>
          </w:p>
        </w:tc>
        <w:tc>
          <w:tcPr>
            <w:tcW w:w="1250" w:type="pct"/>
            <w:tcBorders>
              <w:top w:val="single" w:sz="4" w:space="0" w:color="auto"/>
              <w:left w:val="single" w:sz="4" w:space="0" w:color="auto"/>
              <w:bottom w:val="single" w:sz="4" w:space="0" w:color="auto"/>
              <w:right w:val="single" w:sz="4" w:space="0" w:color="auto"/>
            </w:tcBorders>
            <w:hideMark/>
          </w:tcPr>
          <w:p w14:paraId="5B9C1502"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5.00</w:t>
            </w:r>
          </w:p>
          <w:p w14:paraId="0DDED2A9"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4.00-6.00</w:t>
            </w:r>
          </w:p>
        </w:tc>
        <w:tc>
          <w:tcPr>
            <w:tcW w:w="1250" w:type="pct"/>
            <w:tcBorders>
              <w:top w:val="single" w:sz="4" w:space="0" w:color="auto"/>
              <w:left w:val="single" w:sz="4" w:space="0" w:color="auto"/>
              <w:bottom w:val="single" w:sz="4" w:space="0" w:color="auto"/>
              <w:right w:val="single" w:sz="4" w:space="0" w:color="auto"/>
            </w:tcBorders>
            <w:hideMark/>
          </w:tcPr>
          <w:p w14:paraId="38444435"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&lt;0.001</w:t>
            </w:r>
          </w:p>
        </w:tc>
      </w:tr>
      <w:tr w:rsidR="004D5CE1" w:rsidRPr="00EC3AAB" w14:paraId="7E7114D5" w14:textId="77777777" w:rsidTr="002232F4">
        <w:trPr>
          <w:trHeight w:val="223"/>
          <w:jc w:val="center"/>
        </w:trPr>
        <w:tc>
          <w:tcPr>
            <w:tcW w:w="1250" w:type="pct"/>
            <w:tcBorders>
              <w:top w:val="single" w:sz="4" w:space="0" w:color="auto"/>
              <w:left w:val="single" w:sz="4" w:space="0" w:color="auto"/>
              <w:bottom w:val="single" w:sz="4" w:space="0" w:color="auto"/>
              <w:right w:val="single" w:sz="4" w:space="0" w:color="auto"/>
            </w:tcBorders>
            <w:hideMark/>
          </w:tcPr>
          <w:p w14:paraId="5811C771"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Hit-6</w:t>
            </w:r>
          </w:p>
        </w:tc>
        <w:tc>
          <w:tcPr>
            <w:tcW w:w="1250" w:type="pct"/>
            <w:tcBorders>
              <w:top w:val="single" w:sz="4" w:space="0" w:color="auto"/>
              <w:left w:val="single" w:sz="4" w:space="0" w:color="auto"/>
              <w:bottom w:val="single" w:sz="4" w:space="0" w:color="auto"/>
              <w:right w:val="single" w:sz="4" w:space="0" w:color="auto"/>
            </w:tcBorders>
            <w:hideMark/>
          </w:tcPr>
          <w:p w14:paraId="3D1D15B0"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61.50</w:t>
            </w:r>
          </w:p>
          <w:p w14:paraId="1FD5E066"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59.00-62.25</w:t>
            </w:r>
          </w:p>
        </w:tc>
        <w:tc>
          <w:tcPr>
            <w:tcW w:w="1250" w:type="pct"/>
            <w:tcBorders>
              <w:top w:val="single" w:sz="4" w:space="0" w:color="auto"/>
              <w:left w:val="single" w:sz="4" w:space="0" w:color="auto"/>
              <w:bottom w:val="single" w:sz="4" w:space="0" w:color="auto"/>
              <w:right w:val="single" w:sz="4" w:space="0" w:color="auto"/>
            </w:tcBorders>
            <w:hideMark/>
          </w:tcPr>
          <w:p w14:paraId="6B0E6C43"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51.00</w:t>
            </w:r>
          </w:p>
          <w:p w14:paraId="235C43EC"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47.75-53.50</w:t>
            </w:r>
          </w:p>
        </w:tc>
        <w:tc>
          <w:tcPr>
            <w:tcW w:w="1250" w:type="pct"/>
            <w:tcBorders>
              <w:top w:val="single" w:sz="4" w:space="0" w:color="auto"/>
              <w:left w:val="single" w:sz="4" w:space="0" w:color="auto"/>
              <w:bottom w:val="single" w:sz="4" w:space="0" w:color="auto"/>
              <w:right w:val="single" w:sz="4" w:space="0" w:color="auto"/>
            </w:tcBorders>
            <w:hideMark/>
          </w:tcPr>
          <w:p w14:paraId="25A678B2"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&lt;0.001</w:t>
            </w:r>
          </w:p>
        </w:tc>
      </w:tr>
      <w:tr w:rsidR="004D5CE1" w:rsidRPr="00EC3AAB" w14:paraId="00A19CD2" w14:textId="77777777" w:rsidTr="002232F4">
        <w:trPr>
          <w:trHeight w:val="228"/>
          <w:jc w:val="center"/>
        </w:trPr>
        <w:tc>
          <w:tcPr>
            <w:tcW w:w="1250" w:type="pct"/>
            <w:tcBorders>
              <w:top w:val="single" w:sz="4" w:space="0" w:color="auto"/>
              <w:left w:val="single" w:sz="4" w:space="0" w:color="auto"/>
              <w:bottom w:val="single" w:sz="4" w:space="0" w:color="auto"/>
              <w:right w:val="single" w:sz="4" w:space="0" w:color="auto"/>
            </w:tcBorders>
            <w:hideMark/>
          </w:tcPr>
          <w:p w14:paraId="53393D38"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Midas</w:t>
            </w:r>
          </w:p>
        </w:tc>
        <w:tc>
          <w:tcPr>
            <w:tcW w:w="1250" w:type="pct"/>
            <w:tcBorders>
              <w:top w:val="single" w:sz="4" w:space="0" w:color="auto"/>
              <w:left w:val="single" w:sz="4" w:space="0" w:color="auto"/>
              <w:bottom w:val="single" w:sz="4" w:space="0" w:color="auto"/>
              <w:right w:val="single" w:sz="4" w:space="0" w:color="auto"/>
            </w:tcBorders>
            <w:hideMark/>
          </w:tcPr>
          <w:p w14:paraId="55EE6156"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26.00</w:t>
            </w:r>
          </w:p>
          <w:p w14:paraId="351911D6"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21.75-28.00</w:t>
            </w:r>
          </w:p>
        </w:tc>
        <w:tc>
          <w:tcPr>
            <w:tcW w:w="1250" w:type="pct"/>
            <w:tcBorders>
              <w:top w:val="single" w:sz="4" w:space="0" w:color="auto"/>
              <w:left w:val="single" w:sz="4" w:space="0" w:color="auto"/>
              <w:bottom w:val="single" w:sz="4" w:space="0" w:color="auto"/>
              <w:right w:val="single" w:sz="4" w:space="0" w:color="auto"/>
            </w:tcBorders>
            <w:hideMark/>
          </w:tcPr>
          <w:p w14:paraId="1DCE004F"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9.00</w:t>
            </w:r>
          </w:p>
          <w:p w14:paraId="02EE87B5"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5.00-14.25</w:t>
            </w:r>
          </w:p>
        </w:tc>
        <w:tc>
          <w:tcPr>
            <w:tcW w:w="1250" w:type="pct"/>
            <w:tcBorders>
              <w:top w:val="single" w:sz="4" w:space="0" w:color="auto"/>
              <w:left w:val="single" w:sz="4" w:space="0" w:color="auto"/>
              <w:bottom w:val="single" w:sz="4" w:space="0" w:color="auto"/>
              <w:right w:val="single" w:sz="4" w:space="0" w:color="auto"/>
            </w:tcBorders>
            <w:hideMark/>
          </w:tcPr>
          <w:p w14:paraId="13D8D64A"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&lt;0.001</w:t>
            </w:r>
          </w:p>
        </w:tc>
      </w:tr>
    </w:tbl>
    <w:p w14:paraId="3B81ED8F"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The Wilcoxon Signed Ranks Test was used to assess within-group differences in the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(transcutaneous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group's pre- and post-treatment scores. The analysis found statistically significant improvements in all three outcome measures. The median VAS score for pain intensity fell from 8.00 (Q1-Q3: 7.75-8.25) before therapy to 5.00 (Q1-Q3: 4.00-6.00) after treatment (p &lt; 0.001), showing a significant reduction in felt pain. This shows that VNS had a significant analgesic effect on people experiencing migraine discomfort. The HIT-6 score, which assesses the impact of headaches on daily functioning, decreased significantly from 61.50 (Q1-Q3: 59.00-62.25) to 51.00 (Q1-Q3: 47.75-53.50) post-treatment (p &lt; 0.001). The MIDAS score for migraine-related impairment decreased significantly from a median of 26.00 (Q1-Q3: 21.75-28.00) to 9.00 (Q1-Q3: 5.00-14.25) after treatment (p &lt; 0.001). These data show that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therapy significantly reduced pain, headache burden, and functional impairment, indicating its therapeutic promise in the treatment of migraine symptoms.</w:t>
      </w:r>
    </w:p>
    <w:p w14:paraId="028354A7" w14:textId="77777777" w:rsidR="004D5CE1" w:rsidRPr="00EC3AAB" w:rsidRDefault="004D5CE1" w:rsidP="004D5CE1">
      <w:pPr>
        <w:spacing w:line="240" w:lineRule="auto"/>
        <w:jc w:val="both"/>
        <w:rPr>
          <w:rFonts w:asciiTheme="majorBidi" w:hAnsiTheme="majorBidi" w:cstheme="majorBidi"/>
          <w:sz w:val="22"/>
          <w:szCs w:val="20"/>
        </w:rPr>
      </w:pPr>
    </w:p>
    <w:p w14:paraId="03534C02" w14:textId="77777777" w:rsidR="004D5CE1" w:rsidRPr="00EC3AAB" w:rsidRDefault="004D5CE1" w:rsidP="004D5CE1">
      <w:pPr>
        <w:spacing w:line="240" w:lineRule="auto"/>
        <w:jc w:val="both"/>
        <w:rPr>
          <w:rFonts w:asciiTheme="majorBidi" w:hAnsiTheme="majorBidi" w:cstheme="majorBidi"/>
          <w:sz w:val="22"/>
          <w:szCs w:val="20"/>
        </w:rPr>
      </w:pPr>
      <w:bookmarkStart w:id="7" w:name="_Toc207536424"/>
      <w:r w:rsidRPr="00EC3AAB">
        <w:rPr>
          <w:rFonts w:asciiTheme="majorBidi" w:hAnsiTheme="majorBidi" w:cstheme="majorBidi"/>
          <w:sz w:val="22"/>
          <w:szCs w:val="20"/>
        </w:rPr>
        <w:t>Table 4 Mann Whitney U test between groups analysis</w:t>
      </w:r>
      <w:bookmarkEnd w:id="7"/>
    </w:p>
    <w:tbl>
      <w:tblPr>
        <w:tblStyle w:val="TableGrid"/>
        <w:tblW w:w="5000" w:type="pct"/>
        <w:tblLook w:val="04A0" w:firstRow="1" w:lastRow="0" w:firstColumn="1" w:lastColumn="0" w:noHBand="0" w:noVBand="1"/>
      </w:tblPr>
      <w:tblGrid>
        <w:gridCol w:w="1215"/>
        <w:gridCol w:w="1513"/>
        <w:gridCol w:w="2729"/>
        <w:gridCol w:w="2729"/>
        <w:gridCol w:w="2729"/>
      </w:tblGrid>
      <w:tr w:rsidR="004D5CE1" w:rsidRPr="00EC3AAB" w14:paraId="1DF91E3E" w14:textId="77777777" w:rsidTr="002232F4">
        <w:trPr>
          <w:trHeight w:val="358"/>
        </w:trPr>
        <w:tc>
          <w:tcPr>
            <w:tcW w:w="1250" w:type="pct"/>
            <w:gridSpan w:val="2"/>
            <w:tcBorders>
              <w:top w:val="single" w:sz="4" w:space="0" w:color="auto"/>
              <w:left w:val="single" w:sz="4" w:space="0" w:color="auto"/>
              <w:bottom w:val="single" w:sz="4" w:space="0" w:color="auto"/>
              <w:right w:val="single" w:sz="4" w:space="0" w:color="auto"/>
            </w:tcBorders>
          </w:tcPr>
          <w:p w14:paraId="2D97AB31" w14:textId="77777777" w:rsidR="004D5CE1" w:rsidRPr="00EC3AAB" w:rsidRDefault="004D5CE1" w:rsidP="008A2944">
            <w:pPr>
              <w:jc w:val="both"/>
              <w:rPr>
                <w:rFonts w:asciiTheme="majorBidi" w:hAnsiTheme="majorBidi" w:cstheme="majorBidi"/>
                <w:sz w:val="22"/>
              </w:rPr>
            </w:pPr>
          </w:p>
        </w:tc>
        <w:tc>
          <w:tcPr>
            <w:tcW w:w="1250" w:type="pct"/>
            <w:tcBorders>
              <w:top w:val="single" w:sz="4" w:space="0" w:color="auto"/>
              <w:left w:val="single" w:sz="4" w:space="0" w:color="auto"/>
              <w:bottom w:val="single" w:sz="4" w:space="0" w:color="auto"/>
              <w:right w:val="single" w:sz="4" w:space="0" w:color="auto"/>
            </w:tcBorders>
            <w:hideMark/>
          </w:tcPr>
          <w:p w14:paraId="2E8F45B2"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Pre</w:t>
            </w:r>
          </w:p>
          <w:p w14:paraId="49719A20"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Median</w:t>
            </w:r>
          </w:p>
          <w:p w14:paraId="26329D03"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Q1-Q3</w:t>
            </w:r>
          </w:p>
        </w:tc>
        <w:tc>
          <w:tcPr>
            <w:tcW w:w="1250" w:type="pct"/>
            <w:tcBorders>
              <w:top w:val="single" w:sz="4" w:space="0" w:color="auto"/>
              <w:left w:val="single" w:sz="4" w:space="0" w:color="auto"/>
              <w:bottom w:val="single" w:sz="4" w:space="0" w:color="auto"/>
              <w:right w:val="single" w:sz="4" w:space="0" w:color="auto"/>
            </w:tcBorders>
            <w:hideMark/>
          </w:tcPr>
          <w:p w14:paraId="7EBE3854"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Post</w:t>
            </w:r>
          </w:p>
          <w:p w14:paraId="6283F037"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Median</w:t>
            </w:r>
          </w:p>
          <w:p w14:paraId="7AA35800"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Q1-Q3</w:t>
            </w:r>
          </w:p>
        </w:tc>
        <w:tc>
          <w:tcPr>
            <w:tcW w:w="1250" w:type="pct"/>
            <w:tcBorders>
              <w:top w:val="single" w:sz="4" w:space="0" w:color="auto"/>
              <w:left w:val="single" w:sz="4" w:space="0" w:color="auto"/>
              <w:bottom w:val="single" w:sz="4" w:space="0" w:color="auto"/>
              <w:right w:val="single" w:sz="4" w:space="0" w:color="auto"/>
            </w:tcBorders>
            <w:hideMark/>
          </w:tcPr>
          <w:p w14:paraId="6773F906"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p-value</w:t>
            </w:r>
          </w:p>
          <w:p w14:paraId="6725534A"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post</w:t>
            </w:r>
          </w:p>
        </w:tc>
      </w:tr>
      <w:tr w:rsidR="004D5CE1" w:rsidRPr="00EC3AAB" w14:paraId="409DE040" w14:textId="77777777" w:rsidTr="002232F4">
        <w:trPr>
          <w:trHeight w:val="63"/>
        </w:trPr>
        <w:tc>
          <w:tcPr>
            <w:tcW w:w="557" w:type="pct"/>
            <w:vMerge w:val="restart"/>
            <w:tcBorders>
              <w:top w:val="single" w:sz="4" w:space="0" w:color="auto"/>
              <w:left w:val="single" w:sz="4" w:space="0" w:color="auto"/>
              <w:bottom w:val="single" w:sz="4" w:space="0" w:color="auto"/>
              <w:right w:val="single" w:sz="4" w:space="0" w:color="auto"/>
            </w:tcBorders>
          </w:tcPr>
          <w:p w14:paraId="7909FAA0"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VAS</w:t>
            </w:r>
          </w:p>
          <w:p w14:paraId="0EE0BE9E" w14:textId="77777777" w:rsidR="004D5CE1" w:rsidRPr="00EC3AAB" w:rsidRDefault="004D5CE1" w:rsidP="008A2944">
            <w:pPr>
              <w:jc w:val="both"/>
              <w:rPr>
                <w:rFonts w:asciiTheme="majorBidi" w:hAnsiTheme="majorBidi" w:cstheme="majorBidi"/>
                <w:sz w:val="22"/>
              </w:rPr>
            </w:pPr>
          </w:p>
        </w:tc>
        <w:tc>
          <w:tcPr>
            <w:tcW w:w="693" w:type="pct"/>
            <w:tcBorders>
              <w:top w:val="single" w:sz="4" w:space="0" w:color="auto"/>
              <w:left w:val="single" w:sz="4" w:space="0" w:color="auto"/>
              <w:bottom w:val="single" w:sz="4" w:space="0" w:color="auto"/>
              <w:right w:val="single" w:sz="4" w:space="0" w:color="auto"/>
            </w:tcBorders>
            <w:hideMark/>
          </w:tcPr>
          <w:p w14:paraId="5EFD7BDA" w14:textId="77777777" w:rsidR="004D5CE1" w:rsidRPr="00EC3AAB" w:rsidRDefault="004D5CE1" w:rsidP="008A2944">
            <w:pPr>
              <w:jc w:val="both"/>
              <w:rPr>
                <w:rFonts w:asciiTheme="majorBidi" w:hAnsiTheme="majorBidi" w:cstheme="majorBidi"/>
                <w:sz w:val="22"/>
              </w:rPr>
            </w:pPr>
            <w:proofErr w:type="spellStart"/>
            <w:r w:rsidRPr="00EC3AAB">
              <w:rPr>
                <w:rFonts w:asciiTheme="majorBidi" w:hAnsiTheme="majorBidi" w:cstheme="majorBidi"/>
                <w:sz w:val="22"/>
              </w:rPr>
              <w:t>tVNS</w:t>
            </w:r>
            <w:proofErr w:type="spellEnd"/>
          </w:p>
          <w:p w14:paraId="3D854CD6" w14:textId="77777777" w:rsidR="004D5CE1" w:rsidRPr="00EC3AAB" w:rsidRDefault="004D5CE1" w:rsidP="008A2944">
            <w:pPr>
              <w:jc w:val="both"/>
              <w:rPr>
                <w:rFonts w:asciiTheme="majorBidi" w:hAnsiTheme="majorBidi" w:cstheme="majorBidi"/>
                <w:sz w:val="22"/>
              </w:rPr>
            </w:pPr>
          </w:p>
        </w:tc>
        <w:tc>
          <w:tcPr>
            <w:tcW w:w="1250" w:type="pct"/>
            <w:tcBorders>
              <w:top w:val="single" w:sz="4" w:space="0" w:color="auto"/>
              <w:left w:val="single" w:sz="4" w:space="0" w:color="auto"/>
              <w:bottom w:val="single" w:sz="4" w:space="0" w:color="auto"/>
              <w:right w:val="single" w:sz="4" w:space="0" w:color="auto"/>
            </w:tcBorders>
            <w:hideMark/>
          </w:tcPr>
          <w:p w14:paraId="3DE18423"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8.00</w:t>
            </w:r>
          </w:p>
          <w:p w14:paraId="0F96F6C1"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7.75-8.25</w:t>
            </w:r>
          </w:p>
        </w:tc>
        <w:tc>
          <w:tcPr>
            <w:tcW w:w="1250" w:type="pct"/>
            <w:tcBorders>
              <w:top w:val="single" w:sz="4" w:space="0" w:color="auto"/>
              <w:left w:val="single" w:sz="4" w:space="0" w:color="auto"/>
              <w:bottom w:val="single" w:sz="4" w:space="0" w:color="auto"/>
              <w:right w:val="single" w:sz="4" w:space="0" w:color="auto"/>
            </w:tcBorders>
            <w:hideMark/>
          </w:tcPr>
          <w:p w14:paraId="2D84FAE5"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5.00</w:t>
            </w:r>
          </w:p>
          <w:p w14:paraId="6199E02E"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4.00-6.00</w:t>
            </w:r>
          </w:p>
        </w:tc>
        <w:tc>
          <w:tcPr>
            <w:tcW w:w="1250" w:type="pct"/>
            <w:vMerge w:val="restart"/>
            <w:tcBorders>
              <w:top w:val="single" w:sz="4" w:space="0" w:color="auto"/>
              <w:left w:val="single" w:sz="4" w:space="0" w:color="auto"/>
              <w:bottom w:val="single" w:sz="4" w:space="0" w:color="auto"/>
              <w:right w:val="single" w:sz="4" w:space="0" w:color="auto"/>
            </w:tcBorders>
            <w:hideMark/>
          </w:tcPr>
          <w:p w14:paraId="673A3F5E"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0.05</w:t>
            </w:r>
          </w:p>
        </w:tc>
      </w:tr>
      <w:tr w:rsidR="004D5CE1" w:rsidRPr="00EC3AAB" w14:paraId="1081CFC2" w14:textId="77777777" w:rsidTr="002232F4">
        <w:trPr>
          <w:trHeight w:val="70"/>
        </w:trPr>
        <w:tc>
          <w:tcPr>
            <w:tcW w:w="557" w:type="pct"/>
            <w:vMerge/>
            <w:tcBorders>
              <w:top w:val="single" w:sz="4" w:space="0" w:color="auto"/>
              <w:left w:val="single" w:sz="4" w:space="0" w:color="auto"/>
              <w:bottom w:val="single" w:sz="4" w:space="0" w:color="auto"/>
              <w:right w:val="single" w:sz="4" w:space="0" w:color="auto"/>
            </w:tcBorders>
            <w:vAlign w:val="center"/>
            <w:hideMark/>
          </w:tcPr>
          <w:p w14:paraId="03B0CEB2" w14:textId="77777777" w:rsidR="004D5CE1" w:rsidRPr="00EC3AAB" w:rsidRDefault="004D5CE1" w:rsidP="008A2944">
            <w:pPr>
              <w:jc w:val="both"/>
              <w:rPr>
                <w:rFonts w:asciiTheme="majorBidi" w:hAnsiTheme="majorBidi" w:cstheme="majorBidi"/>
                <w:sz w:val="22"/>
              </w:rPr>
            </w:pPr>
          </w:p>
        </w:tc>
        <w:tc>
          <w:tcPr>
            <w:tcW w:w="693" w:type="pct"/>
            <w:tcBorders>
              <w:top w:val="single" w:sz="4" w:space="0" w:color="auto"/>
              <w:left w:val="single" w:sz="4" w:space="0" w:color="auto"/>
              <w:bottom w:val="single" w:sz="4" w:space="0" w:color="auto"/>
              <w:right w:val="single" w:sz="4" w:space="0" w:color="auto"/>
            </w:tcBorders>
            <w:hideMark/>
          </w:tcPr>
          <w:p w14:paraId="30F6352B" w14:textId="77777777" w:rsidR="004D5CE1" w:rsidRPr="00EC3AAB" w:rsidRDefault="004D5CE1" w:rsidP="008A2944">
            <w:pPr>
              <w:jc w:val="both"/>
              <w:rPr>
                <w:rFonts w:asciiTheme="majorBidi" w:hAnsiTheme="majorBidi" w:cstheme="majorBidi"/>
                <w:sz w:val="22"/>
              </w:rPr>
            </w:pPr>
            <w:proofErr w:type="spellStart"/>
            <w:r w:rsidRPr="00EC3AAB">
              <w:rPr>
                <w:rFonts w:asciiTheme="majorBidi" w:hAnsiTheme="majorBidi" w:cstheme="majorBidi"/>
                <w:sz w:val="22"/>
              </w:rPr>
              <w:t>nVNS</w:t>
            </w:r>
            <w:proofErr w:type="spellEnd"/>
          </w:p>
        </w:tc>
        <w:tc>
          <w:tcPr>
            <w:tcW w:w="1250" w:type="pct"/>
            <w:tcBorders>
              <w:top w:val="single" w:sz="4" w:space="0" w:color="auto"/>
              <w:left w:val="single" w:sz="4" w:space="0" w:color="auto"/>
              <w:bottom w:val="single" w:sz="4" w:space="0" w:color="auto"/>
              <w:right w:val="single" w:sz="4" w:space="0" w:color="auto"/>
            </w:tcBorders>
            <w:hideMark/>
          </w:tcPr>
          <w:p w14:paraId="7062766E"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8.00</w:t>
            </w:r>
          </w:p>
          <w:p w14:paraId="0C664290"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7.00-9.00</w:t>
            </w:r>
          </w:p>
        </w:tc>
        <w:tc>
          <w:tcPr>
            <w:tcW w:w="1250" w:type="pct"/>
            <w:tcBorders>
              <w:top w:val="single" w:sz="4" w:space="0" w:color="auto"/>
              <w:left w:val="single" w:sz="4" w:space="0" w:color="auto"/>
              <w:bottom w:val="single" w:sz="4" w:space="0" w:color="auto"/>
              <w:right w:val="single" w:sz="4" w:space="0" w:color="auto"/>
            </w:tcBorders>
            <w:hideMark/>
          </w:tcPr>
          <w:p w14:paraId="4A1457AB"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7.00</w:t>
            </w:r>
          </w:p>
          <w:p w14:paraId="09740E4C"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5.75-7.25</w:t>
            </w:r>
          </w:p>
        </w:tc>
        <w:tc>
          <w:tcPr>
            <w:tcW w:w="1250" w:type="pct"/>
            <w:vMerge/>
            <w:tcBorders>
              <w:top w:val="single" w:sz="4" w:space="0" w:color="auto"/>
              <w:left w:val="single" w:sz="4" w:space="0" w:color="auto"/>
              <w:bottom w:val="single" w:sz="4" w:space="0" w:color="auto"/>
              <w:right w:val="single" w:sz="4" w:space="0" w:color="auto"/>
            </w:tcBorders>
            <w:vAlign w:val="center"/>
            <w:hideMark/>
          </w:tcPr>
          <w:p w14:paraId="44551E8D" w14:textId="77777777" w:rsidR="004D5CE1" w:rsidRPr="00EC3AAB" w:rsidRDefault="004D5CE1" w:rsidP="008A2944">
            <w:pPr>
              <w:jc w:val="both"/>
              <w:rPr>
                <w:rFonts w:asciiTheme="majorBidi" w:hAnsiTheme="majorBidi" w:cstheme="majorBidi"/>
                <w:sz w:val="22"/>
              </w:rPr>
            </w:pPr>
          </w:p>
        </w:tc>
      </w:tr>
      <w:tr w:rsidR="004D5CE1" w:rsidRPr="00EC3AAB" w14:paraId="0788178B" w14:textId="77777777" w:rsidTr="002232F4">
        <w:trPr>
          <w:trHeight w:val="63"/>
        </w:trPr>
        <w:tc>
          <w:tcPr>
            <w:tcW w:w="557" w:type="pct"/>
            <w:vMerge w:val="restart"/>
            <w:tcBorders>
              <w:top w:val="single" w:sz="4" w:space="0" w:color="auto"/>
              <w:left w:val="single" w:sz="4" w:space="0" w:color="auto"/>
              <w:bottom w:val="single" w:sz="4" w:space="0" w:color="auto"/>
              <w:right w:val="single" w:sz="4" w:space="0" w:color="auto"/>
            </w:tcBorders>
            <w:hideMark/>
          </w:tcPr>
          <w:p w14:paraId="5F0BF25B"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Hit-6</w:t>
            </w:r>
          </w:p>
        </w:tc>
        <w:tc>
          <w:tcPr>
            <w:tcW w:w="693" w:type="pct"/>
            <w:tcBorders>
              <w:top w:val="single" w:sz="4" w:space="0" w:color="auto"/>
              <w:left w:val="single" w:sz="4" w:space="0" w:color="auto"/>
              <w:bottom w:val="single" w:sz="4" w:space="0" w:color="auto"/>
              <w:right w:val="single" w:sz="4" w:space="0" w:color="auto"/>
            </w:tcBorders>
            <w:hideMark/>
          </w:tcPr>
          <w:p w14:paraId="685D85B1" w14:textId="77777777" w:rsidR="004D5CE1" w:rsidRPr="00EC3AAB" w:rsidRDefault="004D5CE1" w:rsidP="008A2944">
            <w:pPr>
              <w:jc w:val="both"/>
              <w:rPr>
                <w:rFonts w:asciiTheme="majorBidi" w:hAnsiTheme="majorBidi" w:cstheme="majorBidi"/>
                <w:sz w:val="22"/>
              </w:rPr>
            </w:pPr>
            <w:proofErr w:type="spellStart"/>
            <w:r w:rsidRPr="00EC3AAB">
              <w:rPr>
                <w:rFonts w:asciiTheme="majorBidi" w:hAnsiTheme="majorBidi" w:cstheme="majorBidi"/>
                <w:sz w:val="22"/>
              </w:rPr>
              <w:t>tVNS</w:t>
            </w:r>
            <w:proofErr w:type="spellEnd"/>
          </w:p>
          <w:p w14:paraId="66DEC212" w14:textId="77777777" w:rsidR="004D5CE1" w:rsidRPr="00EC3AAB" w:rsidRDefault="004D5CE1" w:rsidP="008A2944">
            <w:pPr>
              <w:jc w:val="both"/>
              <w:rPr>
                <w:rFonts w:asciiTheme="majorBidi" w:hAnsiTheme="majorBidi" w:cstheme="majorBidi"/>
                <w:sz w:val="22"/>
              </w:rPr>
            </w:pPr>
          </w:p>
        </w:tc>
        <w:tc>
          <w:tcPr>
            <w:tcW w:w="1250" w:type="pct"/>
            <w:tcBorders>
              <w:top w:val="single" w:sz="4" w:space="0" w:color="auto"/>
              <w:left w:val="single" w:sz="4" w:space="0" w:color="auto"/>
              <w:bottom w:val="single" w:sz="4" w:space="0" w:color="auto"/>
              <w:right w:val="single" w:sz="4" w:space="0" w:color="auto"/>
            </w:tcBorders>
            <w:hideMark/>
          </w:tcPr>
          <w:p w14:paraId="0AC82687"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61.50</w:t>
            </w:r>
          </w:p>
          <w:p w14:paraId="3B7AB16E"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59.00-62.25</w:t>
            </w:r>
          </w:p>
        </w:tc>
        <w:tc>
          <w:tcPr>
            <w:tcW w:w="1250" w:type="pct"/>
            <w:tcBorders>
              <w:top w:val="single" w:sz="4" w:space="0" w:color="auto"/>
              <w:left w:val="single" w:sz="4" w:space="0" w:color="auto"/>
              <w:bottom w:val="single" w:sz="4" w:space="0" w:color="auto"/>
              <w:right w:val="single" w:sz="4" w:space="0" w:color="auto"/>
            </w:tcBorders>
            <w:hideMark/>
          </w:tcPr>
          <w:p w14:paraId="6CF59F20"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51.00</w:t>
            </w:r>
          </w:p>
          <w:p w14:paraId="25E68A7C"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47.75-53.50</w:t>
            </w:r>
          </w:p>
        </w:tc>
        <w:tc>
          <w:tcPr>
            <w:tcW w:w="1250" w:type="pct"/>
            <w:vMerge w:val="restart"/>
            <w:tcBorders>
              <w:top w:val="single" w:sz="4" w:space="0" w:color="auto"/>
              <w:left w:val="single" w:sz="4" w:space="0" w:color="auto"/>
              <w:bottom w:val="single" w:sz="4" w:space="0" w:color="auto"/>
              <w:right w:val="single" w:sz="4" w:space="0" w:color="auto"/>
            </w:tcBorders>
            <w:hideMark/>
          </w:tcPr>
          <w:p w14:paraId="185B7444"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0.03</w:t>
            </w:r>
          </w:p>
        </w:tc>
      </w:tr>
      <w:tr w:rsidR="004D5CE1" w:rsidRPr="00EC3AAB" w14:paraId="64847526" w14:textId="77777777" w:rsidTr="002232F4">
        <w:trPr>
          <w:trHeight w:val="70"/>
        </w:trPr>
        <w:tc>
          <w:tcPr>
            <w:tcW w:w="557" w:type="pct"/>
            <w:vMerge/>
            <w:tcBorders>
              <w:top w:val="single" w:sz="4" w:space="0" w:color="auto"/>
              <w:left w:val="single" w:sz="4" w:space="0" w:color="auto"/>
              <w:bottom w:val="single" w:sz="4" w:space="0" w:color="auto"/>
              <w:right w:val="single" w:sz="4" w:space="0" w:color="auto"/>
            </w:tcBorders>
            <w:vAlign w:val="center"/>
            <w:hideMark/>
          </w:tcPr>
          <w:p w14:paraId="0AFBE3E0" w14:textId="77777777" w:rsidR="004D5CE1" w:rsidRPr="00EC3AAB" w:rsidRDefault="004D5CE1" w:rsidP="008A2944">
            <w:pPr>
              <w:jc w:val="both"/>
              <w:rPr>
                <w:rFonts w:asciiTheme="majorBidi" w:hAnsiTheme="majorBidi" w:cstheme="majorBidi"/>
                <w:sz w:val="22"/>
              </w:rPr>
            </w:pPr>
          </w:p>
        </w:tc>
        <w:tc>
          <w:tcPr>
            <w:tcW w:w="693" w:type="pct"/>
            <w:tcBorders>
              <w:top w:val="single" w:sz="4" w:space="0" w:color="auto"/>
              <w:left w:val="single" w:sz="4" w:space="0" w:color="auto"/>
              <w:bottom w:val="single" w:sz="4" w:space="0" w:color="auto"/>
              <w:right w:val="single" w:sz="4" w:space="0" w:color="auto"/>
            </w:tcBorders>
            <w:hideMark/>
          </w:tcPr>
          <w:p w14:paraId="7C61BA93" w14:textId="77777777" w:rsidR="004D5CE1" w:rsidRPr="00EC3AAB" w:rsidRDefault="004D5CE1" w:rsidP="008A2944">
            <w:pPr>
              <w:jc w:val="both"/>
              <w:rPr>
                <w:rFonts w:asciiTheme="majorBidi" w:hAnsiTheme="majorBidi" w:cstheme="majorBidi"/>
                <w:sz w:val="22"/>
              </w:rPr>
            </w:pPr>
            <w:proofErr w:type="spellStart"/>
            <w:r w:rsidRPr="00EC3AAB">
              <w:rPr>
                <w:rFonts w:asciiTheme="majorBidi" w:hAnsiTheme="majorBidi" w:cstheme="majorBidi"/>
                <w:sz w:val="22"/>
              </w:rPr>
              <w:t>nVNS</w:t>
            </w:r>
            <w:proofErr w:type="spellEnd"/>
          </w:p>
        </w:tc>
        <w:tc>
          <w:tcPr>
            <w:tcW w:w="1250" w:type="pct"/>
            <w:tcBorders>
              <w:top w:val="single" w:sz="4" w:space="0" w:color="auto"/>
              <w:left w:val="single" w:sz="4" w:space="0" w:color="auto"/>
              <w:bottom w:val="single" w:sz="4" w:space="0" w:color="auto"/>
              <w:right w:val="single" w:sz="4" w:space="0" w:color="auto"/>
            </w:tcBorders>
            <w:hideMark/>
          </w:tcPr>
          <w:p w14:paraId="4C3F8E11"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62.50</w:t>
            </w:r>
          </w:p>
          <w:p w14:paraId="3D39F4F9"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59.75-64.25</w:t>
            </w:r>
          </w:p>
        </w:tc>
        <w:tc>
          <w:tcPr>
            <w:tcW w:w="1250" w:type="pct"/>
            <w:tcBorders>
              <w:top w:val="single" w:sz="4" w:space="0" w:color="auto"/>
              <w:left w:val="single" w:sz="4" w:space="0" w:color="auto"/>
              <w:bottom w:val="single" w:sz="4" w:space="0" w:color="auto"/>
              <w:right w:val="single" w:sz="4" w:space="0" w:color="auto"/>
            </w:tcBorders>
            <w:hideMark/>
          </w:tcPr>
          <w:p w14:paraId="7377C347"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55.50</w:t>
            </w:r>
          </w:p>
          <w:p w14:paraId="548B7E4B"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51.75-58.00</w:t>
            </w:r>
          </w:p>
        </w:tc>
        <w:tc>
          <w:tcPr>
            <w:tcW w:w="1250" w:type="pct"/>
            <w:vMerge/>
            <w:tcBorders>
              <w:top w:val="single" w:sz="4" w:space="0" w:color="auto"/>
              <w:left w:val="single" w:sz="4" w:space="0" w:color="auto"/>
              <w:bottom w:val="single" w:sz="4" w:space="0" w:color="auto"/>
              <w:right w:val="single" w:sz="4" w:space="0" w:color="auto"/>
            </w:tcBorders>
            <w:vAlign w:val="center"/>
            <w:hideMark/>
          </w:tcPr>
          <w:p w14:paraId="0678D4B2" w14:textId="77777777" w:rsidR="004D5CE1" w:rsidRPr="00EC3AAB" w:rsidRDefault="004D5CE1" w:rsidP="008A2944">
            <w:pPr>
              <w:jc w:val="both"/>
              <w:rPr>
                <w:rFonts w:asciiTheme="majorBidi" w:hAnsiTheme="majorBidi" w:cstheme="majorBidi"/>
                <w:sz w:val="22"/>
              </w:rPr>
            </w:pPr>
          </w:p>
        </w:tc>
      </w:tr>
      <w:tr w:rsidR="004D5CE1" w:rsidRPr="00EC3AAB" w14:paraId="16AAEA2D" w14:textId="77777777" w:rsidTr="002232F4">
        <w:trPr>
          <w:trHeight w:val="70"/>
        </w:trPr>
        <w:tc>
          <w:tcPr>
            <w:tcW w:w="557" w:type="pct"/>
            <w:vMerge w:val="restart"/>
            <w:tcBorders>
              <w:top w:val="single" w:sz="4" w:space="0" w:color="auto"/>
              <w:left w:val="single" w:sz="4" w:space="0" w:color="auto"/>
              <w:bottom w:val="single" w:sz="4" w:space="0" w:color="auto"/>
              <w:right w:val="single" w:sz="4" w:space="0" w:color="auto"/>
            </w:tcBorders>
          </w:tcPr>
          <w:p w14:paraId="488F0D65"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Midas</w:t>
            </w:r>
          </w:p>
          <w:p w14:paraId="3301A652" w14:textId="77777777" w:rsidR="004D5CE1" w:rsidRPr="00EC3AAB" w:rsidRDefault="004D5CE1" w:rsidP="008A2944">
            <w:pPr>
              <w:jc w:val="both"/>
              <w:rPr>
                <w:rFonts w:asciiTheme="majorBidi" w:hAnsiTheme="majorBidi" w:cstheme="majorBidi"/>
                <w:sz w:val="22"/>
              </w:rPr>
            </w:pPr>
          </w:p>
        </w:tc>
        <w:tc>
          <w:tcPr>
            <w:tcW w:w="693" w:type="pct"/>
            <w:tcBorders>
              <w:top w:val="single" w:sz="4" w:space="0" w:color="auto"/>
              <w:left w:val="single" w:sz="4" w:space="0" w:color="auto"/>
              <w:bottom w:val="single" w:sz="4" w:space="0" w:color="auto"/>
              <w:right w:val="single" w:sz="4" w:space="0" w:color="auto"/>
            </w:tcBorders>
            <w:hideMark/>
          </w:tcPr>
          <w:p w14:paraId="61566E54" w14:textId="77777777" w:rsidR="004D5CE1" w:rsidRPr="00EC3AAB" w:rsidRDefault="004D5CE1" w:rsidP="008A2944">
            <w:pPr>
              <w:jc w:val="both"/>
              <w:rPr>
                <w:rFonts w:asciiTheme="majorBidi" w:hAnsiTheme="majorBidi" w:cstheme="majorBidi"/>
                <w:sz w:val="22"/>
              </w:rPr>
            </w:pPr>
            <w:proofErr w:type="spellStart"/>
            <w:r w:rsidRPr="00EC3AAB">
              <w:rPr>
                <w:rFonts w:asciiTheme="majorBidi" w:hAnsiTheme="majorBidi" w:cstheme="majorBidi"/>
                <w:sz w:val="22"/>
              </w:rPr>
              <w:t>tVNS</w:t>
            </w:r>
            <w:proofErr w:type="spellEnd"/>
          </w:p>
        </w:tc>
        <w:tc>
          <w:tcPr>
            <w:tcW w:w="1250" w:type="pct"/>
            <w:tcBorders>
              <w:top w:val="single" w:sz="4" w:space="0" w:color="auto"/>
              <w:left w:val="single" w:sz="4" w:space="0" w:color="auto"/>
              <w:bottom w:val="single" w:sz="4" w:space="0" w:color="auto"/>
              <w:right w:val="single" w:sz="4" w:space="0" w:color="auto"/>
            </w:tcBorders>
            <w:hideMark/>
          </w:tcPr>
          <w:p w14:paraId="4BD384DA"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26.00</w:t>
            </w:r>
          </w:p>
          <w:p w14:paraId="0C9C6E19"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21.75-28.00</w:t>
            </w:r>
          </w:p>
        </w:tc>
        <w:tc>
          <w:tcPr>
            <w:tcW w:w="1250" w:type="pct"/>
            <w:tcBorders>
              <w:top w:val="single" w:sz="4" w:space="0" w:color="auto"/>
              <w:left w:val="single" w:sz="4" w:space="0" w:color="auto"/>
              <w:bottom w:val="single" w:sz="4" w:space="0" w:color="auto"/>
              <w:right w:val="single" w:sz="4" w:space="0" w:color="auto"/>
            </w:tcBorders>
            <w:hideMark/>
          </w:tcPr>
          <w:p w14:paraId="683872D2"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9.00</w:t>
            </w:r>
          </w:p>
          <w:p w14:paraId="5899D5E7"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5.00-14.25</w:t>
            </w:r>
          </w:p>
        </w:tc>
        <w:tc>
          <w:tcPr>
            <w:tcW w:w="1250" w:type="pct"/>
            <w:vMerge w:val="restart"/>
            <w:tcBorders>
              <w:top w:val="single" w:sz="4" w:space="0" w:color="auto"/>
              <w:left w:val="single" w:sz="4" w:space="0" w:color="auto"/>
              <w:bottom w:val="single" w:sz="4" w:space="0" w:color="auto"/>
              <w:right w:val="single" w:sz="4" w:space="0" w:color="auto"/>
            </w:tcBorders>
            <w:hideMark/>
          </w:tcPr>
          <w:p w14:paraId="20AFE32D"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0.14</w:t>
            </w:r>
          </w:p>
        </w:tc>
      </w:tr>
      <w:tr w:rsidR="004D5CE1" w:rsidRPr="00EC3AAB" w14:paraId="18DC617D" w14:textId="77777777" w:rsidTr="002232F4">
        <w:trPr>
          <w:trHeight w:val="63"/>
        </w:trPr>
        <w:tc>
          <w:tcPr>
            <w:tcW w:w="557" w:type="pct"/>
            <w:vMerge/>
            <w:tcBorders>
              <w:top w:val="single" w:sz="4" w:space="0" w:color="auto"/>
              <w:left w:val="single" w:sz="4" w:space="0" w:color="auto"/>
              <w:bottom w:val="single" w:sz="4" w:space="0" w:color="auto"/>
              <w:right w:val="single" w:sz="4" w:space="0" w:color="auto"/>
            </w:tcBorders>
            <w:vAlign w:val="center"/>
            <w:hideMark/>
          </w:tcPr>
          <w:p w14:paraId="35E675FF" w14:textId="77777777" w:rsidR="004D5CE1" w:rsidRPr="00EC3AAB" w:rsidRDefault="004D5CE1" w:rsidP="008A2944">
            <w:pPr>
              <w:jc w:val="both"/>
              <w:rPr>
                <w:rFonts w:asciiTheme="majorBidi" w:hAnsiTheme="majorBidi" w:cstheme="majorBidi"/>
                <w:sz w:val="22"/>
              </w:rPr>
            </w:pPr>
          </w:p>
        </w:tc>
        <w:tc>
          <w:tcPr>
            <w:tcW w:w="693" w:type="pct"/>
            <w:tcBorders>
              <w:top w:val="single" w:sz="4" w:space="0" w:color="auto"/>
              <w:left w:val="single" w:sz="4" w:space="0" w:color="auto"/>
              <w:bottom w:val="single" w:sz="4" w:space="0" w:color="auto"/>
              <w:right w:val="single" w:sz="4" w:space="0" w:color="auto"/>
            </w:tcBorders>
            <w:hideMark/>
          </w:tcPr>
          <w:p w14:paraId="65499392" w14:textId="77777777" w:rsidR="004D5CE1" w:rsidRPr="00EC3AAB" w:rsidRDefault="004D5CE1" w:rsidP="008A2944">
            <w:pPr>
              <w:jc w:val="both"/>
              <w:rPr>
                <w:rFonts w:asciiTheme="majorBidi" w:hAnsiTheme="majorBidi" w:cstheme="majorBidi"/>
                <w:sz w:val="22"/>
              </w:rPr>
            </w:pPr>
            <w:proofErr w:type="spellStart"/>
            <w:r w:rsidRPr="00EC3AAB">
              <w:rPr>
                <w:rFonts w:asciiTheme="majorBidi" w:hAnsiTheme="majorBidi" w:cstheme="majorBidi"/>
                <w:sz w:val="22"/>
              </w:rPr>
              <w:t>nVNS</w:t>
            </w:r>
            <w:proofErr w:type="spellEnd"/>
          </w:p>
        </w:tc>
        <w:tc>
          <w:tcPr>
            <w:tcW w:w="1250" w:type="pct"/>
            <w:tcBorders>
              <w:top w:val="single" w:sz="4" w:space="0" w:color="auto"/>
              <w:left w:val="single" w:sz="4" w:space="0" w:color="auto"/>
              <w:bottom w:val="single" w:sz="4" w:space="0" w:color="auto"/>
              <w:right w:val="single" w:sz="4" w:space="0" w:color="auto"/>
            </w:tcBorders>
            <w:hideMark/>
          </w:tcPr>
          <w:p w14:paraId="52AF435F"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24.00</w:t>
            </w:r>
          </w:p>
          <w:p w14:paraId="28B86C9A"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22.00-31.50</w:t>
            </w:r>
          </w:p>
        </w:tc>
        <w:tc>
          <w:tcPr>
            <w:tcW w:w="1250" w:type="pct"/>
            <w:tcBorders>
              <w:top w:val="single" w:sz="4" w:space="0" w:color="auto"/>
              <w:left w:val="single" w:sz="4" w:space="0" w:color="auto"/>
              <w:bottom w:val="single" w:sz="4" w:space="0" w:color="auto"/>
              <w:right w:val="single" w:sz="4" w:space="0" w:color="auto"/>
            </w:tcBorders>
            <w:hideMark/>
          </w:tcPr>
          <w:p w14:paraId="462B28A9"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13.00</w:t>
            </w:r>
          </w:p>
          <w:p w14:paraId="00C3B7A3" w14:textId="77777777" w:rsidR="004D5CE1" w:rsidRPr="00EC3AAB" w:rsidRDefault="004D5CE1" w:rsidP="008A2944">
            <w:pPr>
              <w:jc w:val="both"/>
              <w:rPr>
                <w:rFonts w:asciiTheme="majorBidi" w:hAnsiTheme="majorBidi" w:cstheme="majorBidi"/>
                <w:sz w:val="22"/>
              </w:rPr>
            </w:pPr>
            <w:r w:rsidRPr="00EC3AAB">
              <w:rPr>
                <w:rFonts w:asciiTheme="majorBidi" w:hAnsiTheme="majorBidi" w:cstheme="majorBidi"/>
                <w:sz w:val="22"/>
              </w:rPr>
              <w:t>8.00-17.25</w:t>
            </w:r>
          </w:p>
        </w:tc>
        <w:tc>
          <w:tcPr>
            <w:tcW w:w="1250" w:type="pct"/>
            <w:vMerge/>
            <w:tcBorders>
              <w:top w:val="single" w:sz="4" w:space="0" w:color="auto"/>
              <w:left w:val="single" w:sz="4" w:space="0" w:color="auto"/>
              <w:bottom w:val="single" w:sz="4" w:space="0" w:color="auto"/>
              <w:right w:val="single" w:sz="4" w:space="0" w:color="auto"/>
            </w:tcBorders>
            <w:vAlign w:val="center"/>
            <w:hideMark/>
          </w:tcPr>
          <w:p w14:paraId="6F688C54" w14:textId="77777777" w:rsidR="004D5CE1" w:rsidRPr="00EC3AAB" w:rsidRDefault="004D5CE1" w:rsidP="008A2944">
            <w:pPr>
              <w:jc w:val="both"/>
              <w:rPr>
                <w:rFonts w:asciiTheme="majorBidi" w:hAnsiTheme="majorBidi" w:cstheme="majorBidi"/>
                <w:sz w:val="22"/>
              </w:rPr>
            </w:pPr>
          </w:p>
        </w:tc>
      </w:tr>
    </w:tbl>
    <w:p w14:paraId="5994B7E0" w14:textId="77777777" w:rsidR="004D5CE1" w:rsidRPr="00EC3AAB" w:rsidRDefault="004D5CE1" w:rsidP="004D5CE1">
      <w:pPr>
        <w:spacing w:line="240" w:lineRule="auto"/>
        <w:jc w:val="both"/>
        <w:rPr>
          <w:rFonts w:asciiTheme="majorBidi" w:hAnsiTheme="majorBidi" w:cstheme="majorBidi"/>
          <w:sz w:val="22"/>
          <w:szCs w:val="20"/>
        </w:rPr>
      </w:pPr>
    </w:p>
    <w:p w14:paraId="7BC5EA94" w14:textId="77777777" w:rsidR="002232F4"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lastRenderedPageBreak/>
        <w:t xml:space="preserve">The Mann-Whitney U test was conducted to compare the pre- and post-treatment scores between the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and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groups. For the post-treatment VAS scores,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showed a significant reduction from a median of 8.00 (Q1-Q3: 7.75-8.25) to 5.00 (Q1-Q3: 4.00-6.00), with a p-value of 0.05, while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showed a smaller change, from 8.00 (Q1-Q3: 7.00-9.00) to 7.00 (Q1-Q3: 5.75-7.25). The Hit-6 scores for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also showed significant improvement, with a decrease from 61.50 (Q1-Q3: 59.00-62.25) to 51.00 (Q1-Q3: 47.75-53.50), yielding a p-value of 0.03. For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the reduction was from 62.50 (Q1-Q3: 59.75-64.25) to 55.50 (Q1-Q3: 51.75-58.00). However, the Midas scores did not show significant improvement for either group, with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decreasing from 26.00 (Q1-Q3: 21.75-28.00) to 9.00 (Q1-Q3: 5.00-14.25) and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from 24.00 (Q1-Q3: 22.00-31.50) to 13.00 (Q1-Q3: 8.00-17.25), both having p-values greater than 0.05.</w:t>
      </w:r>
    </w:p>
    <w:p w14:paraId="395EE072" w14:textId="72C53B81" w:rsidR="004D5CE1" w:rsidRPr="00EC3AAB" w:rsidRDefault="004D5CE1" w:rsidP="004D5CE1">
      <w:pPr>
        <w:spacing w:line="240" w:lineRule="auto"/>
        <w:jc w:val="both"/>
        <w:rPr>
          <w:rFonts w:asciiTheme="majorBidi" w:hAnsiTheme="majorBidi" w:cstheme="majorBidi"/>
          <w:sz w:val="22"/>
          <w:szCs w:val="20"/>
        </w:rPr>
      </w:pPr>
    </w:p>
    <w:p w14:paraId="07D5479D" w14:textId="77777777" w:rsidR="004D5CE1" w:rsidRPr="001B2041" w:rsidRDefault="004D5CE1" w:rsidP="004D5CE1">
      <w:pPr>
        <w:spacing w:line="240" w:lineRule="auto"/>
        <w:jc w:val="both"/>
        <w:rPr>
          <w:rFonts w:asciiTheme="majorBidi" w:hAnsiTheme="majorBidi" w:cstheme="majorBidi"/>
          <w:b/>
          <w:bCs/>
          <w:sz w:val="22"/>
          <w:szCs w:val="20"/>
          <w:lang w:val="en-GB"/>
        </w:rPr>
      </w:pPr>
      <w:bookmarkStart w:id="8" w:name="_Toc207537324"/>
      <w:r w:rsidRPr="001B2041">
        <w:rPr>
          <w:rFonts w:asciiTheme="majorBidi" w:hAnsiTheme="majorBidi" w:cstheme="majorBidi"/>
          <w:b/>
          <w:bCs/>
          <w:sz w:val="22"/>
          <w:szCs w:val="20"/>
          <w:lang w:val="en-GB"/>
        </w:rPr>
        <w:t>DISCUSSION</w:t>
      </w:r>
      <w:bookmarkEnd w:id="8"/>
    </w:p>
    <w:p w14:paraId="1C290F7B" w14:textId="77777777" w:rsidR="004D5CE1" w:rsidRPr="00EC3AAB" w:rsidRDefault="004D5CE1" w:rsidP="004D5CE1">
      <w:pPr>
        <w:spacing w:line="240" w:lineRule="auto"/>
        <w:jc w:val="both"/>
        <w:rPr>
          <w:rFonts w:asciiTheme="majorBidi" w:hAnsiTheme="majorBidi" w:cstheme="majorBidi"/>
          <w:sz w:val="22"/>
          <w:szCs w:val="20"/>
          <w:lang w:val="en-GB"/>
        </w:rPr>
      </w:pPr>
      <w:r w:rsidRPr="00EC3AAB">
        <w:rPr>
          <w:rFonts w:asciiTheme="majorBidi" w:hAnsiTheme="majorBidi" w:cstheme="majorBidi"/>
          <w:sz w:val="22"/>
          <w:szCs w:val="20"/>
          <w:lang w:val="en-GB"/>
        </w:rPr>
        <w:t xml:space="preserve">Migraine has detrimental effects on society, individuals, and the economy under and is the third most common cause of disability under the age of 50. There are several subtypes of migraine, and patients may have several at the same time. Patients who were diagnosed with migraine with or without aura were included in this study. </w:t>
      </w:r>
    </w:p>
    <w:p w14:paraId="6E43930F" w14:textId="77777777" w:rsidR="004D5CE1" w:rsidRPr="00EC3AAB" w:rsidRDefault="004D5CE1" w:rsidP="004D5CE1">
      <w:pPr>
        <w:spacing w:line="240" w:lineRule="auto"/>
        <w:jc w:val="both"/>
        <w:rPr>
          <w:rFonts w:asciiTheme="majorBidi" w:hAnsiTheme="majorBidi" w:cstheme="majorBidi"/>
          <w:sz w:val="22"/>
          <w:szCs w:val="20"/>
          <w:lang w:val="en-GB"/>
        </w:rPr>
      </w:pPr>
      <w:r w:rsidRPr="00EC3AAB">
        <w:rPr>
          <w:rFonts w:asciiTheme="majorBidi" w:hAnsiTheme="majorBidi" w:cstheme="majorBidi"/>
          <w:sz w:val="22"/>
          <w:szCs w:val="20"/>
          <w:lang w:val="en-GB"/>
        </w:rPr>
        <w:t xml:space="preserve">Current findings show the </w:t>
      </w:r>
      <w:proofErr w:type="spellStart"/>
      <w:r w:rsidRPr="00EC3AAB">
        <w:rPr>
          <w:rFonts w:asciiTheme="majorBidi" w:hAnsiTheme="majorBidi" w:cstheme="majorBidi"/>
          <w:sz w:val="22"/>
          <w:szCs w:val="20"/>
          <w:lang w:val="en-GB"/>
        </w:rPr>
        <w:t>nVNS</w:t>
      </w:r>
      <w:proofErr w:type="spellEnd"/>
      <w:r w:rsidRPr="00EC3AAB">
        <w:rPr>
          <w:rFonts w:asciiTheme="majorBidi" w:hAnsiTheme="majorBidi" w:cstheme="majorBidi"/>
          <w:sz w:val="22"/>
          <w:szCs w:val="20"/>
          <w:lang w:val="en-GB"/>
        </w:rPr>
        <w:t xml:space="preserve"> group averaged a BMI of 26.13 (overweight), while the </w:t>
      </w:r>
      <w:proofErr w:type="spellStart"/>
      <w:r w:rsidRPr="00EC3AAB">
        <w:rPr>
          <w:rFonts w:asciiTheme="majorBidi" w:hAnsiTheme="majorBidi" w:cstheme="majorBidi"/>
          <w:sz w:val="22"/>
          <w:szCs w:val="20"/>
          <w:lang w:val="en-GB"/>
        </w:rPr>
        <w:t>tVNS</w:t>
      </w:r>
      <w:proofErr w:type="spellEnd"/>
      <w:r w:rsidRPr="00EC3AAB">
        <w:rPr>
          <w:rFonts w:asciiTheme="majorBidi" w:hAnsiTheme="majorBidi" w:cstheme="majorBidi"/>
          <w:sz w:val="22"/>
          <w:szCs w:val="20"/>
          <w:lang w:val="en-GB"/>
        </w:rPr>
        <w:t xml:space="preserve"> group averaged 24.41 (within the normal range). A study highlighted that being overweight (BMI 25–29.9 kg/m²) is common among migraineurs about 62% in a U.S. sample, with overweight linked to higher migraine frequency </w:t>
      </w:r>
      <w:r w:rsidRPr="00EC3AAB">
        <w:rPr>
          <w:rFonts w:asciiTheme="majorBidi" w:hAnsiTheme="majorBidi" w:cstheme="majorBidi"/>
          <w:sz w:val="22"/>
          <w:szCs w:val="20"/>
        </w:rPr>
        <w:fldChar w:fldCharType="begin"/>
      </w:r>
      <w:r w:rsidRPr="00EC3AAB">
        <w:rPr>
          <w:rFonts w:asciiTheme="majorBidi" w:hAnsiTheme="majorBidi" w:cstheme="majorBidi"/>
          <w:sz w:val="22"/>
          <w:szCs w:val="20"/>
        </w:rPr>
        <w:instrText xml:space="preserve"> ADDIN EN.CITE &lt;EndNote&gt;&lt;Cite&gt;&lt;Author&gt;Chorążka&lt;/Author&gt;&lt;Year&gt;2014&lt;/Year&gt;&lt;RecNum&gt;86&lt;/RecNum&gt;&lt;DisplayText&gt;(11)&lt;/DisplayText&gt;&lt;record&gt;&lt;rec-number&gt;86&lt;/rec-number&gt;&lt;foreign-keys&gt;&lt;key app="EN" db-id="9ewpev003x0vzfewf5wvwxxzatrtedpd92pa" timestamp="1752080307"&gt;86&lt;/key&gt;&lt;/foreign-keys&gt;&lt;ref-type name="Journal Article"&gt;17&lt;/ref-type&gt;&lt;contributors&gt;&lt;authors&gt;&lt;author&gt;Chorążka, Kamil&lt;/author&gt;&lt;author&gt;Janoska, Marlena&lt;/author&gt;&lt;author&gt;Domitrz, Izabela&lt;/author&gt;&lt;/authors&gt;&lt;/contributors&gt;&lt;titles&gt;&lt;title&gt;Body mass index and its impact on migraine prevalence and severity in female patients: preliminary results&lt;/title&gt;&lt;secondary-title&gt;Neurologia i Neurochirurgia Polska&lt;/secondary-title&gt;&lt;/titles&gt;&lt;periodical&gt;&lt;full-title&gt;Neurologia i Neurochirurgia Polska&lt;/full-title&gt;&lt;/periodical&gt;&lt;pages&gt;163-166&lt;/pages&gt;&lt;volume&gt;48&lt;/volume&gt;&lt;number&gt;3&lt;/number&gt;&lt;dates&gt;&lt;year&gt;2014&lt;/year&gt;&lt;/dates&gt;&lt;isbn&gt;1897-4260&lt;/isbn&gt;&lt;urls&gt;&lt;/urls&gt;&lt;/record&gt;&lt;/Cite&gt;&lt;/EndNote&gt;</w:instrText>
      </w:r>
      <w:r w:rsidRPr="00EC3AAB">
        <w:rPr>
          <w:rFonts w:asciiTheme="majorBidi" w:hAnsiTheme="majorBidi" w:cstheme="majorBidi"/>
          <w:sz w:val="22"/>
          <w:szCs w:val="20"/>
        </w:rPr>
        <w:fldChar w:fldCharType="separate"/>
      </w:r>
      <w:r w:rsidRPr="00EC3AAB">
        <w:rPr>
          <w:rFonts w:asciiTheme="majorBidi" w:hAnsiTheme="majorBidi" w:cstheme="majorBidi"/>
          <w:sz w:val="22"/>
          <w:szCs w:val="20"/>
        </w:rPr>
        <w:t>(11)</w:t>
      </w:r>
      <w:r w:rsidRPr="00EC3AAB">
        <w:rPr>
          <w:rFonts w:asciiTheme="majorBidi" w:hAnsiTheme="majorBidi" w:cstheme="majorBidi"/>
          <w:sz w:val="22"/>
          <w:szCs w:val="20"/>
        </w:rPr>
        <w:fldChar w:fldCharType="end"/>
      </w:r>
      <w:r w:rsidRPr="00EC3AAB">
        <w:rPr>
          <w:rFonts w:asciiTheme="majorBidi" w:hAnsiTheme="majorBidi" w:cstheme="majorBidi"/>
          <w:sz w:val="22"/>
          <w:szCs w:val="20"/>
          <w:lang w:val="en-GB"/>
        </w:rPr>
        <w:t xml:space="preserve"> </w:t>
      </w:r>
      <w:r w:rsidRPr="00EC3AAB">
        <w:rPr>
          <w:rFonts w:asciiTheme="majorBidi" w:hAnsiTheme="majorBidi" w:cstheme="majorBidi"/>
          <w:sz w:val="22"/>
          <w:szCs w:val="20"/>
        </w:rPr>
        <w:t>Numerous other studies' findings confirm the notion that BMI is correlated with the frequency of migraine attacks</w:t>
      </w:r>
      <w:r w:rsidRPr="00EC3AAB">
        <w:rPr>
          <w:rFonts w:asciiTheme="majorBidi" w:hAnsiTheme="majorBidi" w:cstheme="majorBidi"/>
          <w:sz w:val="22"/>
          <w:szCs w:val="20"/>
          <w:lang w:val="en-GB"/>
        </w:rPr>
        <w:t xml:space="preserve"> i.e.,</w:t>
      </w:r>
      <w:r w:rsidRPr="00EC3AAB">
        <w:rPr>
          <w:rFonts w:asciiTheme="majorBidi" w:hAnsiTheme="majorBidi" w:cstheme="majorBidi"/>
          <w:sz w:val="22"/>
          <w:szCs w:val="20"/>
        </w:rPr>
        <w:t xml:space="preserve"> Bigal et al. </w:t>
      </w:r>
      <w:r w:rsidRPr="00EC3AAB">
        <w:rPr>
          <w:rFonts w:asciiTheme="majorBidi" w:hAnsiTheme="majorBidi" w:cstheme="majorBidi"/>
          <w:sz w:val="22"/>
          <w:szCs w:val="20"/>
        </w:rPr>
        <w:fldChar w:fldCharType="begin"/>
      </w:r>
      <w:r w:rsidRPr="00EC3AAB">
        <w:rPr>
          <w:rFonts w:asciiTheme="majorBidi" w:hAnsiTheme="majorBidi" w:cstheme="majorBidi"/>
          <w:sz w:val="22"/>
          <w:szCs w:val="20"/>
        </w:rPr>
        <w:instrText xml:space="preserve"> ADDIN EN.CITE &lt;EndNote&gt;&lt;Cite&gt;&lt;Author&gt;Bigal&lt;/Author&gt;&lt;Year&gt;2006&lt;/Year&gt;&lt;RecNum&gt;87&lt;/RecNum&gt;&lt;DisplayText&gt;(12)&lt;/DisplayText&gt;&lt;record&gt;&lt;rec-number&gt;87&lt;/rec-number&gt;&lt;foreign-keys&gt;&lt;key app="EN" db-id="9ewpev003x0vzfewf5wvwxxzatrtedpd92pa" timestamp="1752080676"&gt;87&lt;/key&gt;&lt;/foreign-keys&gt;&lt;ref-type name="Journal Article"&gt;17&lt;/ref-type&gt;&lt;contributors&gt;&lt;authors&gt;&lt;author&gt;Bigal, Marcelo E&lt;/author&gt;&lt;author&gt;Liberman, Joshua N&lt;/author&gt;&lt;author&gt;Lipton, Richard B&lt;/author&gt;&lt;/authors&gt;&lt;/contributors&gt;&lt;titles&gt;&lt;title&gt;Obesity and migraine: a population study&lt;/title&gt;&lt;secondary-title&gt;Neurology&lt;/secondary-title&gt;&lt;/titles&gt;&lt;periodical&gt;&lt;full-title&gt;Neurology&lt;/full-title&gt;&lt;/periodical&gt;&lt;pages&gt;545-550&lt;/pages&gt;&lt;volume&gt;66&lt;/volume&gt;&lt;number&gt;4&lt;/number&gt;&lt;dates&gt;&lt;year&gt;2006&lt;/year&gt;&lt;/dates&gt;&lt;isbn&gt;0028-3878&lt;/isbn&gt;&lt;urls&gt;&lt;/urls&gt;&lt;/record&gt;&lt;/Cite&gt;&lt;/EndNote&gt;</w:instrText>
      </w:r>
      <w:r w:rsidRPr="00EC3AAB">
        <w:rPr>
          <w:rFonts w:asciiTheme="majorBidi" w:hAnsiTheme="majorBidi" w:cstheme="majorBidi"/>
          <w:sz w:val="22"/>
          <w:szCs w:val="20"/>
        </w:rPr>
        <w:fldChar w:fldCharType="separate"/>
      </w:r>
      <w:r w:rsidRPr="00EC3AAB">
        <w:rPr>
          <w:rFonts w:asciiTheme="majorBidi" w:hAnsiTheme="majorBidi" w:cstheme="majorBidi"/>
          <w:sz w:val="22"/>
          <w:szCs w:val="20"/>
        </w:rPr>
        <w:t>(12)</w:t>
      </w:r>
      <w:r w:rsidRPr="00EC3AAB">
        <w:rPr>
          <w:rFonts w:asciiTheme="majorBidi" w:hAnsiTheme="majorBidi" w:cstheme="majorBidi"/>
          <w:sz w:val="22"/>
          <w:szCs w:val="20"/>
        </w:rPr>
        <w:fldChar w:fldCharType="end"/>
      </w:r>
      <w:r w:rsidRPr="00EC3AAB">
        <w:rPr>
          <w:rFonts w:asciiTheme="majorBidi" w:hAnsiTheme="majorBidi" w:cstheme="majorBidi"/>
          <w:sz w:val="22"/>
          <w:szCs w:val="20"/>
          <w:lang w:val="en-GB"/>
        </w:rPr>
        <w:t xml:space="preserve"> </w:t>
      </w:r>
      <w:r w:rsidRPr="00EC3AAB">
        <w:rPr>
          <w:rFonts w:asciiTheme="majorBidi" w:hAnsiTheme="majorBidi" w:cstheme="majorBidi"/>
          <w:sz w:val="22"/>
          <w:szCs w:val="20"/>
        </w:rPr>
        <w:t>exhibit similar findings.</w:t>
      </w:r>
      <w:r w:rsidRPr="00EC3AAB">
        <w:rPr>
          <w:rFonts w:asciiTheme="majorBidi" w:hAnsiTheme="majorBidi" w:cstheme="majorBidi"/>
          <w:sz w:val="22"/>
          <w:szCs w:val="20"/>
          <w:lang w:val="en-GB"/>
        </w:rPr>
        <w:t xml:space="preserve"> </w:t>
      </w:r>
      <w:r w:rsidRPr="00EC3AAB">
        <w:rPr>
          <w:rFonts w:asciiTheme="majorBidi" w:hAnsiTheme="majorBidi" w:cstheme="majorBidi"/>
          <w:sz w:val="22"/>
          <w:szCs w:val="20"/>
        </w:rPr>
        <w:t>Although125 participants did not exhibit a migraine risk associated with an elevated BMI, episodes were more common in people who were overweight or obese</w:t>
      </w:r>
      <w:r w:rsidRPr="00EC3AAB">
        <w:rPr>
          <w:rFonts w:asciiTheme="majorBidi" w:hAnsiTheme="majorBidi" w:cstheme="majorBidi"/>
          <w:sz w:val="22"/>
          <w:szCs w:val="20"/>
          <w:lang w:val="en-GB"/>
        </w:rPr>
        <w:t xml:space="preserve"> </w:t>
      </w:r>
      <w:r w:rsidRPr="00EC3AAB">
        <w:rPr>
          <w:rFonts w:asciiTheme="majorBidi" w:hAnsiTheme="majorBidi" w:cstheme="majorBidi"/>
          <w:sz w:val="22"/>
          <w:szCs w:val="20"/>
          <w:lang w:val="en-GB"/>
        </w:rPr>
        <w:fldChar w:fldCharType="begin"/>
      </w:r>
      <w:r w:rsidRPr="00EC3AAB">
        <w:rPr>
          <w:rFonts w:asciiTheme="majorBidi" w:hAnsiTheme="majorBidi" w:cstheme="majorBidi"/>
          <w:sz w:val="22"/>
          <w:szCs w:val="20"/>
          <w:lang w:val="en-GB"/>
        </w:rPr>
        <w:instrText xml:space="preserve"> ADDIN EN.CITE &lt;EndNote&gt;&lt;Cite&gt;&lt;Author&gt;Bigal&lt;/Author&gt;&lt;Year&gt;2006&lt;/Year&gt;&lt;RecNum&gt;87&lt;/RecNum&gt;&lt;DisplayText&gt;(12)&lt;/DisplayText&gt;&lt;record&gt;&lt;rec-number&gt;87&lt;/rec-number&gt;&lt;foreign-keys&gt;&lt;key app="EN" db-id="9ewpev003x0vzfewf5wvwxxzatrtedpd92pa" timestamp="1752080676"&gt;87&lt;/key&gt;&lt;/foreign-keys&gt;&lt;ref-type name="Journal Article"&gt;17&lt;/ref-type&gt;&lt;contributors&gt;&lt;authors&gt;&lt;author&gt;Bigal, Marcelo E&lt;/author&gt;&lt;author&gt;Liberman, Joshua N&lt;/author&gt;&lt;author&gt;Lipton, Richard B&lt;/author&gt;&lt;/authors&gt;&lt;/contributors&gt;&lt;titles&gt;&lt;title&gt;Obesity and migraine: a population study&lt;/title&gt;&lt;secondary-title&gt;Neurology&lt;/secondary-title&gt;&lt;/titles&gt;&lt;periodical&gt;&lt;full-title&gt;Neurology&lt;/full-title&gt;&lt;/periodical&gt;&lt;pages&gt;545-550&lt;/pages&gt;&lt;volume&gt;66&lt;/volume&gt;&lt;number&gt;4&lt;/number&gt;&lt;dates&gt;&lt;year&gt;2006&lt;/year&gt;&lt;/dates&gt;&lt;isbn&gt;0028-3878&lt;/isbn&gt;&lt;urls&gt;&lt;/urls&gt;&lt;/record&gt;&lt;/Cite&gt;&lt;/EndNote&gt;</w:instrText>
      </w:r>
      <w:r w:rsidRPr="00EC3AAB">
        <w:rPr>
          <w:rFonts w:asciiTheme="majorBidi" w:hAnsiTheme="majorBidi" w:cstheme="majorBidi"/>
          <w:sz w:val="22"/>
          <w:szCs w:val="20"/>
          <w:lang w:val="en-GB"/>
        </w:rPr>
        <w:fldChar w:fldCharType="separate"/>
      </w:r>
      <w:r w:rsidRPr="00EC3AAB">
        <w:rPr>
          <w:rFonts w:asciiTheme="majorBidi" w:hAnsiTheme="majorBidi" w:cstheme="majorBidi"/>
          <w:sz w:val="22"/>
          <w:szCs w:val="20"/>
          <w:lang w:val="en-GB"/>
        </w:rPr>
        <w:t>(12)</w:t>
      </w:r>
      <w:r w:rsidRPr="00EC3AAB">
        <w:rPr>
          <w:rFonts w:asciiTheme="majorBidi" w:hAnsiTheme="majorBidi" w:cstheme="majorBidi"/>
          <w:sz w:val="22"/>
          <w:szCs w:val="20"/>
          <w:lang w:val="en-GB"/>
        </w:rPr>
        <w:fldChar w:fldCharType="end"/>
      </w:r>
      <w:r w:rsidRPr="00EC3AAB">
        <w:rPr>
          <w:rFonts w:asciiTheme="majorBidi" w:hAnsiTheme="majorBidi" w:cstheme="majorBidi"/>
          <w:sz w:val="22"/>
          <w:szCs w:val="20"/>
        </w:rPr>
        <w:t>.</w:t>
      </w:r>
      <w:r w:rsidRPr="00EC3AAB">
        <w:rPr>
          <w:rFonts w:asciiTheme="majorBidi" w:hAnsiTheme="majorBidi" w:cstheme="majorBidi"/>
          <w:sz w:val="22"/>
          <w:szCs w:val="20"/>
          <w:lang w:val="en-GB"/>
        </w:rPr>
        <w:t xml:space="preserve"> </w:t>
      </w:r>
      <w:r w:rsidRPr="00EC3AAB">
        <w:rPr>
          <w:rFonts w:asciiTheme="majorBidi" w:hAnsiTheme="majorBidi" w:cstheme="majorBidi"/>
          <w:sz w:val="22"/>
          <w:szCs w:val="20"/>
        </w:rPr>
        <w:t>Another study conducted by Bigal et al. using data from 18,968 migraineurs (gathered from questionnaires delivered to target households) supports the latter finding.</w:t>
      </w:r>
      <w:r w:rsidRPr="00EC3AAB">
        <w:rPr>
          <w:rFonts w:asciiTheme="majorBidi" w:hAnsiTheme="majorBidi" w:cstheme="majorBidi"/>
          <w:sz w:val="22"/>
          <w:szCs w:val="20"/>
          <w:lang w:val="en-GB"/>
        </w:rPr>
        <w:t xml:space="preserve"> </w:t>
      </w:r>
      <w:r w:rsidRPr="00EC3AAB">
        <w:rPr>
          <w:rFonts w:asciiTheme="majorBidi" w:hAnsiTheme="majorBidi" w:cstheme="majorBidi"/>
          <w:sz w:val="22"/>
          <w:szCs w:val="20"/>
        </w:rPr>
        <w:t>According to Ford et al.'s evaluation of 7601 men and women, patients with BMIs &lt;18.5 and &gt;30 had an elevated age-adjusted risk of migraine or severe headaches; however, Peterlin et al. claimed that obesity only increased the risk of migraine in patients younger than twenty to 55, not older</w:t>
      </w:r>
      <w:r w:rsidRPr="00EC3AAB">
        <w:rPr>
          <w:rFonts w:asciiTheme="majorBidi" w:hAnsiTheme="majorBidi" w:cstheme="majorBidi"/>
          <w:sz w:val="22"/>
          <w:szCs w:val="20"/>
          <w:lang w:val="en-GB"/>
        </w:rPr>
        <w:t xml:space="preserve"> </w:t>
      </w:r>
      <w:r w:rsidRPr="00EC3AAB">
        <w:rPr>
          <w:rFonts w:asciiTheme="majorBidi" w:hAnsiTheme="majorBidi" w:cstheme="majorBidi"/>
          <w:sz w:val="22"/>
          <w:szCs w:val="20"/>
          <w:lang w:val="en-GB"/>
        </w:rPr>
        <w:fldChar w:fldCharType="begin"/>
      </w:r>
      <w:r w:rsidRPr="00EC3AAB">
        <w:rPr>
          <w:rFonts w:asciiTheme="majorBidi" w:hAnsiTheme="majorBidi" w:cstheme="majorBidi"/>
          <w:sz w:val="22"/>
          <w:szCs w:val="20"/>
          <w:lang w:val="en-GB"/>
        </w:rPr>
        <w:instrText xml:space="preserve"> ADDIN EN.CITE &lt;EndNote&gt;&lt;Cite&gt;&lt;Author&gt;Peterlin&lt;/Author&gt;&lt;Year&gt;2010&lt;/Year&gt;&lt;RecNum&gt;89&lt;/RecNum&gt;&lt;DisplayText&gt;(13)&lt;/DisplayText&gt;&lt;record&gt;&lt;rec-number&gt;89&lt;/rec-number&gt;&lt;foreign-keys&gt;&lt;key app="EN" db-id="9ewpev003x0vzfewf5wvwxxzatrtedpd92pa" timestamp="1752082714"&gt;89&lt;/key&gt;&lt;/foreign-keys&gt;&lt;ref-type name="Journal Article"&gt;17&lt;/ref-type&gt;&lt;contributors&gt;&lt;authors&gt;&lt;author&gt;Peterlin, B Lee&lt;/author&gt;&lt;author&gt;Rosso, Andrea L&lt;/author&gt;&lt;author&gt;Rapoport, Alan M&lt;/author&gt;&lt;author&gt;Scher, Ann I&lt;/author&gt;&lt;/authors&gt;&lt;/contributors&gt;&lt;titles&gt;&lt;title&gt;Obesity and migraine: the effect of age, gender and adipose tissue distribution&lt;/title&gt;&lt;secondary-title&gt;Headache: The Journal of Head and Face Pain&lt;/secondary-title&gt;&lt;/titles&gt;&lt;periodical&gt;&lt;full-title&gt;Headache: The Journal of Head and Face Pain&lt;/full-title&gt;&lt;/periodical&gt;&lt;pages&gt;52-62&lt;/pages&gt;&lt;volume&gt;50&lt;/volume&gt;&lt;number&gt;1&lt;/number&gt;&lt;dates&gt;&lt;year&gt;2010&lt;/year&gt;&lt;/dates&gt;&lt;isbn&gt;0017-8748&lt;/isbn&gt;&lt;urls&gt;&lt;/urls&gt;&lt;/record&gt;&lt;/Cite&gt;&lt;/EndNote&gt;</w:instrText>
      </w:r>
      <w:r w:rsidRPr="00EC3AAB">
        <w:rPr>
          <w:rFonts w:asciiTheme="majorBidi" w:hAnsiTheme="majorBidi" w:cstheme="majorBidi"/>
          <w:sz w:val="22"/>
          <w:szCs w:val="20"/>
          <w:lang w:val="en-GB"/>
        </w:rPr>
        <w:fldChar w:fldCharType="separate"/>
      </w:r>
      <w:r w:rsidRPr="00EC3AAB">
        <w:rPr>
          <w:rFonts w:asciiTheme="majorBidi" w:hAnsiTheme="majorBidi" w:cstheme="majorBidi"/>
          <w:sz w:val="22"/>
          <w:szCs w:val="20"/>
          <w:lang w:val="en-GB"/>
        </w:rPr>
        <w:t>(13)</w:t>
      </w:r>
      <w:r w:rsidRPr="00EC3AAB">
        <w:rPr>
          <w:rFonts w:asciiTheme="majorBidi" w:hAnsiTheme="majorBidi" w:cstheme="majorBidi"/>
          <w:sz w:val="22"/>
          <w:szCs w:val="20"/>
          <w:lang w:val="en-GB"/>
        </w:rPr>
        <w:fldChar w:fldCharType="end"/>
      </w:r>
      <w:r w:rsidRPr="00EC3AAB">
        <w:rPr>
          <w:rFonts w:asciiTheme="majorBidi" w:hAnsiTheme="majorBidi" w:cstheme="majorBidi"/>
          <w:sz w:val="22"/>
          <w:szCs w:val="20"/>
        </w:rPr>
        <w:t>, and Yu et al. demonstrated that the probabilities of migraine increased only in patients with BMIs &gt;30</w:t>
      </w:r>
      <w:r w:rsidRPr="00EC3AAB">
        <w:rPr>
          <w:rFonts w:asciiTheme="majorBidi" w:hAnsiTheme="majorBidi" w:cstheme="majorBidi"/>
          <w:sz w:val="22"/>
          <w:szCs w:val="20"/>
          <w:lang w:val="en-GB"/>
        </w:rPr>
        <w:t xml:space="preserve"> </w:t>
      </w:r>
      <w:r w:rsidRPr="00EC3AAB">
        <w:rPr>
          <w:rFonts w:asciiTheme="majorBidi" w:hAnsiTheme="majorBidi" w:cstheme="majorBidi"/>
          <w:sz w:val="22"/>
          <w:szCs w:val="20"/>
          <w:lang w:val="en-GB"/>
        </w:rPr>
        <w:fldChar w:fldCharType="begin"/>
      </w:r>
      <w:r w:rsidRPr="00EC3AAB">
        <w:rPr>
          <w:rFonts w:asciiTheme="majorBidi" w:hAnsiTheme="majorBidi" w:cstheme="majorBidi"/>
          <w:sz w:val="22"/>
          <w:szCs w:val="20"/>
          <w:lang w:val="en-GB"/>
        </w:rPr>
        <w:instrText xml:space="preserve"> ADDIN EN.CITE &lt;EndNote&gt;&lt;Cite&gt;&lt;Author&gt;Yu&lt;/Author&gt;&lt;Year&gt;2012&lt;/Year&gt;&lt;RecNum&gt;88&lt;/RecNum&gt;&lt;DisplayText&gt;(14)&lt;/DisplayText&gt;&lt;record&gt;&lt;rec-number&gt;88&lt;/rec-number&gt;&lt;foreign-keys&gt;&lt;key app="EN" db-id="9ewpev003x0vzfewf5wvwxxzatrtedpd92pa" timestamp="1752082646"&gt;88&lt;/key&gt;&lt;/foreign-keys&gt;&lt;ref-type name="Journal Article"&gt;17&lt;/ref-type&gt;&lt;contributors&gt;&lt;authors&gt;&lt;author&gt;Yu, Shengyuan&lt;/author&gt;&lt;author&gt;Liu, Ruozhuo&lt;/author&gt;&lt;author&gt;Yang, Xiaosu&lt;/author&gt;&lt;author&gt;Zhao, Gang&lt;/author&gt;&lt;author&gt;Qiao, Xiangyang&lt;/author&gt;&lt;author&gt;Feng, Jiachun&lt;/author&gt;&lt;author&gt;Fang, Yannan&lt;/author&gt;&lt;author&gt;Cao, Xiutang&lt;/author&gt;&lt;author&gt;He, Mianwang&lt;/author&gt;&lt;author&gt;Steiner, Timothy J&lt;/author&gt;&lt;/authors&gt;&lt;/contributors&gt;&lt;titles&gt;&lt;title&gt;Body mass index and migraine: a survey of the Chinese adult population&lt;/title&gt;&lt;secondary-title&gt;The journal of headache and pain&lt;/secondary-title&gt;&lt;/titles&gt;&lt;periodical&gt;&lt;full-title&gt;The journal of headache and pain&lt;/full-title&gt;&lt;/periodical&gt;&lt;pages&gt;531-536&lt;/pages&gt;&lt;volume&gt;13&lt;/volume&gt;&lt;dates&gt;&lt;year&gt;2012&lt;/year&gt;&lt;/dates&gt;&lt;isbn&gt;1129-2369&lt;/isbn&gt;&lt;urls&gt;&lt;/urls&gt;&lt;/record&gt;&lt;/Cite&gt;&lt;/EndNote&gt;</w:instrText>
      </w:r>
      <w:r w:rsidRPr="00EC3AAB">
        <w:rPr>
          <w:rFonts w:asciiTheme="majorBidi" w:hAnsiTheme="majorBidi" w:cstheme="majorBidi"/>
          <w:sz w:val="22"/>
          <w:szCs w:val="20"/>
          <w:lang w:val="en-GB"/>
        </w:rPr>
        <w:fldChar w:fldCharType="separate"/>
      </w:r>
      <w:r w:rsidRPr="00EC3AAB">
        <w:rPr>
          <w:rFonts w:asciiTheme="majorBidi" w:hAnsiTheme="majorBidi" w:cstheme="majorBidi"/>
          <w:sz w:val="22"/>
          <w:szCs w:val="20"/>
          <w:lang w:val="en-GB"/>
        </w:rPr>
        <w:t>(14)</w:t>
      </w:r>
      <w:r w:rsidRPr="00EC3AAB">
        <w:rPr>
          <w:rFonts w:asciiTheme="majorBidi" w:hAnsiTheme="majorBidi" w:cstheme="majorBidi"/>
          <w:sz w:val="22"/>
          <w:szCs w:val="20"/>
          <w:lang w:val="en-GB"/>
        </w:rPr>
        <w:fldChar w:fldCharType="end"/>
      </w:r>
      <w:r w:rsidRPr="00EC3AAB">
        <w:rPr>
          <w:rFonts w:asciiTheme="majorBidi" w:hAnsiTheme="majorBidi" w:cstheme="majorBidi"/>
          <w:sz w:val="22"/>
          <w:szCs w:val="20"/>
        </w:rPr>
        <w:t>. Additionally, Bigal et al. excluded that patients with atypical BMI had a higher incidence of migraine</w:t>
      </w:r>
      <w:r w:rsidRPr="00EC3AAB">
        <w:rPr>
          <w:rFonts w:asciiTheme="majorBidi" w:hAnsiTheme="majorBidi" w:cstheme="majorBidi"/>
          <w:sz w:val="22"/>
          <w:szCs w:val="20"/>
          <w:lang w:val="en-GB"/>
        </w:rPr>
        <w:t xml:space="preserve"> </w:t>
      </w:r>
      <w:r w:rsidRPr="00EC3AAB">
        <w:rPr>
          <w:rFonts w:asciiTheme="majorBidi" w:hAnsiTheme="majorBidi" w:cstheme="majorBidi"/>
          <w:sz w:val="22"/>
          <w:szCs w:val="20"/>
          <w:lang w:val="en-GB"/>
        </w:rPr>
        <w:fldChar w:fldCharType="begin"/>
      </w:r>
      <w:r w:rsidRPr="00EC3AAB">
        <w:rPr>
          <w:rFonts w:asciiTheme="majorBidi" w:hAnsiTheme="majorBidi" w:cstheme="majorBidi"/>
          <w:sz w:val="22"/>
          <w:szCs w:val="20"/>
          <w:lang w:val="en-GB"/>
        </w:rPr>
        <w:instrText xml:space="preserve"> ADDIN EN.CITE &lt;EndNote&gt;&lt;Cite&gt;&lt;Author&gt;Bigal&lt;/Author&gt;&lt;Year&gt;2006&lt;/Year&gt;&lt;RecNum&gt;87&lt;/RecNum&gt;&lt;DisplayText&gt;(12)&lt;/DisplayText&gt;&lt;record&gt;&lt;rec-number&gt;87&lt;/rec-number&gt;&lt;foreign-keys&gt;&lt;key app="EN" db-id="9ewpev003x0vzfewf5wvwxxzatrtedpd92pa" timestamp="1752080676"&gt;87&lt;/key&gt;&lt;/foreign-keys&gt;&lt;ref-type name="Journal Article"&gt;17&lt;/ref-type&gt;&lt;contributors&gt;&lt;authors&gt;&lt;author&gt;Bigal, Marcelo E&lt;/author&gt;&lt;author&gt;Liberman, Joshua N&lt;/author&gt;&lt;author&gt;Lipton, Richard B&lt;/author&gt;&lt;/authors&gt;&lt;/contributors&gt;&lt;titles&gt;&lt;title&gt;Obesity and migraine: a population study&lt;/title&gt;&lt;secondary-title&gt;Neurology&lt;/secondary-title&gt;&lt;/titles&gt;&lt;periodical&gt;&lt;full-title&gt;Neurology&lt;/full-title&gt;&lt;/periodical&gt;&lt;pages&gt;545-550&lt;/pages&gt;&lt;volume&gt;66&lt;/volume&gt;&lt;number&gt;4&lt;/number&gt;&lt;dates&gt;&lt;year&gt;2006&lt;/year&gt;&lt;/dates&gt;&lt;isbn&gt;0028-3878&lt;/isbn&gt;&lt;urls&gt;&lt;/urls&gt;&lt;/record&gt;&lt;/Cite&gt;&lt;/EndNote&gt;</w:instrText>
      </w:r>
      <w:r w:rsidRPr="00EC3AAB">
        <w:rPr>
          <w:rFonts w:asciiTheme="majorBidi" w:hAnsiTheme="majorBidi" w:cstheme="majorBidi"/>
          <w:sz w:val="22"/>
          <w:szCs w:val="20"/>
          <w:lang w:val="en-GB"/>
        </w:rPr>
        <w:fldChar w:fldCharType="separate"/>
      </w:r>
      <w:r w:rsidRPr="00EC3AAB">
        <w:rPr>
          <w:rFonts w:asciiTheme="majorBidi" w:hAnsiTheme="majorBidi" w:cstheme="majorBidi"/>
          <w:sz w:val="22"/>
          <w:szCs w:val="20"/>
          <w:lang w:val="en-GB"/>
        </w:rPr>
        <w:t>(12)</w:t>
      </w:r>
      <w:r w:rsidRPr="00EC3AAB">
        <w:rPr>
          <w:rFonts w:asciiTheme="majorBidi" w:hAnsiTheme="majorBidi" w:cstheme="majorBidi"/>
          <w:sz w:val="22"/>
          <w:szCs w:val="20"/>
          <w:lang w:val="en-GB"/>
        </w:rPr>
        <w:fldChar w:fldCharType="end"/>
      </w:r>
      <w:r w:rsidRPr="00EC3AAB">
        <w:rPr>
          <w:rFonts w:asciiTheme="majorBidi" w:hAnsiTheme="majorBidi" w:cstheme="majorBidi"/>
          <w:sz w:val="22"/>
          <w:szCs w:val="20"/>
        </w:rPr>
        <w:t>.</w:t>
      </w:r>
      <w:r w:rsidRPr="00EC3AAB">
        <w:rPr>
          <w:rFonts w:asciiTheme="majorBidi" w:hAnsiTheme="majorBidi" w:cstheme="majorBidi"/>
          <w:sz w:val="22"/>
          <w:szCs w:val="20"/>
          <w:lang w:val="en-GB"/>
        </w:rPr>
        <w:t xml:space="preserve"> Comparing to the current study reveals that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group has a higher BMI suggests they may represent a migraine subgroup with a potentially more refractory profile, as overweight status is commonly linked to higher migraine burden. This aligns with current group's demographics and supports interpreting </w:t>
      </w:r>
      <w:r w:rsidRPr="00EC3AAB">
        <w:rPr>
          <w:rFonts w:asciiTheme="majorBidi" w:hAnsiTheme="majorBidi" w:cstheme="majorBidi"/>
          <w:sz w:val="22"/>
          <w:szCs w:val="20"/>
          <w:lang w:val="en-GB"/>
        </w:rPr>
        <w:t>our</w:t>
      </w:r>
      <w:r w:rsidRPr="00EC3AAB">
        <w:rPr>
          <w:rFonts w:asciiTheme="majorBidi" w:hAnsiTheme="majorBidi" w:cstheme="majorBidi"/>
          <w:sz w:val="22"/>
          <w:szCs w:val="20"/>
        </w:rPr>
        <w:t xml:space="preserve"> neuromodulation outcomes in the context of global migraine-BMI relationships.</w:t>
      </w:r>
      <w:r w:rsidRPr="00EC3AAB">
        <w:rPr>
          <w:rFonts w:asciiTheme="majorBidi" w:hAnsiTheme="majorBidi" w:cstheme="majorBidi"/>
          <w:sz w:val="22"/>
          <w:szCs w:val="20"/>
          <w:lang w:val="en-GB"/>
        </w:rPr>
        <w:t xml:space="preserve"> </w:t>
      </w:r>
    </w:p>
    <w:p w14:paraId="316D9B30"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lang w:val="en-GB"/>
        </w:rPr>
        <w:t>Another study</w:t>
      </w:r>
      <w:r w:rsidRPr="00EC3AAB">
        <w:rPr>
          <w:rFonts w:asciiTheme="majorBidi" w:hAnsiTheme="majorBidi" w:cstheme="majorBidi"/>
          <w:sz w:val="22"/>
          <w:szCs w:val="20"/>
        </w:rPr>
        <w:t xml:space="preserve"> showed that when used in the emergency room, these devices may considerably lower patients' VAS scores, and they work within the first 20 minutes of therapy (p b 0.001). The trial's verum and sham groups showed notable statistical and clinical differences. The 0–20, 20–120, and 0–120 periods were used to assess the patients' reported changes in pain. Following the end of treatment, there was a slow but steady decrease in pain, with the biggest reduction occurring during the first 20 minutes</w:t>
      </w:r>
      <w:r w:rsidRPr="00EC3AAB">
        <w:rPr>
          <w:rFonts w:asciiTheme="majorBidi" w:hAnsiTheme="majorBidi" w:cstheme="majorBidi"/>
          <w:sz w:val="22"/>
          <w:szCs w:val="20"/>
          <w:lang w:val="en-GB"/>
        </w:rPr>
        <w:t xml:space="preserve"> </w:t>
      </w:r>
      <w:r w:rsidRPr="00EC3AAB">
        <w:rPr>
          <w:rFonts w:asciiTheme="majorBidi" w:hAnsiTheme="majorBidi" w:cstheme="majorBidi"/>
          <w:sz w:val="22"/>
          <w:szCs w:val="20"/>
          <w:lang w:val="en-GB"/>
        </w:rPr>
        <w:fldChar w:fldCharType="begin"/>
      </w:r>
      <w:r w:rsidRPr="00EC3AAB">
        <w:rPr>
          <w:rFonts w:asciiTheme="majorBidi" w:hAnsiTheme="majorBidi" w:cstheme="majorBidi"/>
          <w:sz w:val="22"/>
          <w:szCs w:val="20"/>
          <w:lang w:val="en-GB"/>
        </w:rPr>
        <w:instrText xml:space="preserve"> ADDIN EN.CITE &lt;EndNote&gt;&lt;Cite&gt;&lt;Author&gt;Hokenek&lt;/Author&gt;&lt;Year&gt;2021&lt;/Year&gt;&lt;RecNum&gt;96&lt;/RecNum&gt;&lt;DisplayText&gt;(15)&lt;/DisplayText&gt;&lt;record&gt;&lt;rec-number&gt;96&lt;/rec-number&gt;&lt;foreign-keys&gt;&lt;key app="EN" db-id="9ewpev003x0vzfewf5wvwxxzatrtedpd92pa" timestamp="1752144370"&gt;96&lt;/key&gt;&lt;/foreign-keys&gt;&lt;ref-type name="Journal Article"&gt;17&lt;/ref-type&gt;&lt;contributors&gt;&lt;authors&gt;&lt;author&gt;Hokenek, Nihat M&lt;/author&gt;&lt;author&gt;Erdogan, Mehmet O&lt;/author&gt;&lt;author&gt;Hokenek, Ummahan Dalkilinc&lt;/author&gt;&lt;author&gt;Algin, Abdullah&lt;/author&gt;&lt;author&gt;Tekyol, Davut&lt;/author&gt;&lt;author&gt;Seyhan, Avni U&lt;/author&gt;&lt;/authors&gt;&lt;/contributors&gt;&lt;titles&gt;&lt;title&gt;Treatment of migraine attacks by transcutaneous electrical nerve stimulation in emergency department: A randomize controlled trial&lt;/title&gt;&lt;secondary-title&gt;The American Journal of Emergency Medicine&lt;/secondary-title&gt;&lt;/titles&gt;&lt;periodical&gt;&lt;full-title&gt;The American Journal of Emergency Medicine&lt;/full-title&gt;&lt;/periodical&gt;&lt;pages&gt;80-85&lt;/pages&gt;&lt;volume&gt;39&lt;/volume&gt;&lt;dates&gt;&lt;year&gt;2021&lt;/year&gt;&lt;/dates&gt;&lt;isbn&gt;0735-6757&lt;/isbn&gt;&lt;urls&gt;&lt;/urls&gt;&lt;/record&gt;&lt;/Cite&gt;&lt;/EndNote&gt;</w:instrText>
      </w:r>
      <w:r w:rsidRPr="00EC3AAB">
        <w:rPr>
          <w:rFonts w:asciiTheme="majorBidi" w:hAnsiTheme="majorBidi" w:cstheme="majorBidi"/>
          <w:sz w:val="22"/>
          <w:szCs w:val="20"/>
          <w:lang w:val="en-GB"/>
        </w:rPr>
        <w:fldChar w:fldCharType="separate"/>
      </w:r>
      <w:r w:rsidRPr="00EC3AAB">
        <w:rPr>
          <w:rFonts w:asciiTheme="majorBidi" w:hAnsiTheme="majorBidi" w:cstheme="majorBidi"/>
          <w:sz w:val="22"/>
          <w:szCs w:val="20"/>
          <w:lang w:val="en-GB"/>
        </w:rPr>
        <w:t>(15)</w:t>
      </w:r>
      <w:r w:rsidRPr="00EC3AAB">
        <w:rPr>
          <w:rFonts w:asciiTheme="majorBidi" w:hAnsiTheme="majorBidi" w:cstheme="majorBidi"/>
          <w:sz w:val="22"/>
          <w:szCs w:val="20"/>
          <w:lang w:val="en-GB"/>
        </w:rPr>
        <w:fldChar w:fldCharType="end"/>
      </w:r>
      <w:r w:rsidRPr="00EC3AAB">
        <w:rPr>
          <w:rFonts w:asciiTheme="majorBidi" w:hAnsiTheme="majorBidi" w:cstheme="majorBidi"/>
          <w:sz w:val="22"/>
          <w:szCs w:val="20"/>
        </w:rPr>
        <w:t>.</w:t>
      </w:r>
      <w:r w:rsidRPr="00EC3AAB">
        <w:rPr>
          <w:rFonts w:asciiTheme="majorBidi" w:hAnsiTheme="majorBidi" w:cstheme="majorBidi"/>
          <w:sz w:val="22"/>
          <w:szCs w:val="20"/>
          <w:lang w:val="en-GB"/>
        </w:rPr>
        <w:t xml:space="preserve"> In current study </w:t>
      </w:r>
      <w:r w:rsidRPr="00EC3AAB">
        <w:rPr>
          <w:rFonts w:asciiTheme="majorBidi" w:hAnsiTheme="majorBidi" w:cstheme="majorBidi"/>
          <w:sz w:val="22"/>
          <w:szCs w:val="20"/>
        </w:rPr>
        <w:t>use of the Shapiro-Wilk test to identify non-normal distributions in pre-treatment scores (all p &lt; 0.05) and adoption of Wilcoxon Signed-Ranks Tests follow best practices:</w:t>
      </w:r>
      <w:r w:rsidRPr="00EC3AAB">
        <w:rPr>
          <w:rFonts w:asciiTheme="majorBidi" w:hAnsiTheme="majorBidi" w:cstheme="majorBidi"/>
          <w:sz w:val="22"/>
          <w:szCs w:val="20"/>
          <w:lang w:val="en-GB"/>
        </w:rPr>
        <w:t xml:space="preserve"> </w:t>
      </w:r>
      <w:r w:rsidRPr="00EC3AAB">
        <w:rPr>
          <w:rFonts w:asciiTheme="majorBidi" w:hAnsiTheme="majorBidi" w:cstheme="majorBidi"/>
          <w:sz w:val="22"/>
          <w:szCs w:val="20"/>
        </w:rPr>
        <w:t>HIT</w:t>
      </w:r>
      <w:r w:rsidRPr="00EC3AAB">
        <w:rPr>
          <w:rFonts w:asciiTheme="majorBidi" w:hAnsiTheme="majorBidi" w:cstheme="majorBidi"/>
          <w:sz w:val="22"/>
          <w:szCs w:val="20"/>
        </w:rPr>
        <w:noBreakHyphen/>
        <w:t>6 and MIDAS are widely used and validated scales, with strong reliability and internal consistency; their sensitivity to change has been confirmed in several migraine cohorts</w:t>
      </w:r>
      <w:r w:rsidRPr="00EC3AAB">
        <w:rPr>
          <w:rFonts w:asciiTheme="majorBidi" w:hAnsiTheme="majorBidi" w:cstheme="majorBidi"/>
          <w:sz w:val="22"/>
          <w:szCs w:val="20"/>
          <w:lang w:val="en-GB"/>
        </w:rPr>
        <w:t xml:space="preserve"> i.e., </w:t>
      </w:r>
      <w:r w:rsidRPr="00EC3AAB">
        <w:rPr>
          <w:rFonts w:asciiTheme="majorBidi" w:hAnsiTheme="majorBidi" w:cstheme="majorBidi"/>
          <w:sz w:val="22"/>
          <w:szCs w:val="20"/>
        </w:rPr>
        <w:t xml:space="preserve">Kinfe et al.’s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studies similarly applied non-parametric analyses for skewed VAS scores</w:t>
      </w:r>
      <w:r w:rsidRPr="00EC3AAB">
        <w:rPr>
          <w:rFonts w:asciiTheme="majorBidi" w:hAnsiTheme="majorBidi" w:cstheme="majorBidi"/>
          <w:sz w:val="22"/>
          <w:szCs w:val="20"/>
          <w:lang w:val="en-GB"/>
        </w:rPr>
        <w:t xml:space="preserve"> </w:t>
      </w:r>
      <w:r w:rsidRPr="00EC3AAB">
        <w:rPr>
          <w:rFonts w:asciiTheme="majorBidi" w:hAnsiTheme="majorBidi" w:cstheme="majorBidi"/>
          <w:sz w:val="22"/>
          <w:szCs w:val="20"/>
          <w:lang w:val="en-GB"/>
        </w:rPr>
        <w:fldChar w:fldCharType="begin"/>
      </w:r>
      <w:r w:rsidRPr="00EC3AAB">
        <w:rPr>
          <w:rFonts w:asciiTheme="majorBidi" w:hAnsiTheme="majorBidi" w:cstheme="majorBidi"/>
          <w:sz w:val="22"/>
          <w:szCs w:val="20"/>
          <w:lang w:val="en-GB"/>
        </w:rPr>
        <w:instrText xml:space="preserve"> ADDIN EN.CITE &lt;EndNote&gt;&lt;Cite&gt;&lt;Author&gt;Kinfe&lt;/Author&gt;&lt;Year&gt;2015&lt;/Year&gt;&lt;RecNum&gt;97&lt;/RecNum&gt;&lt;DisplayText&gt;(16)&lt;/DisplayText&gt;&lt;record&gt;&lt;rec-number&gt;97&lt;/rec-number&gt;&lt;foreign-keys&gt;&lt;key app="EN" db-id="9ewpev003x0vzfewf5wvwxxzatrtedpd92pa" timestamp="1752144875"&gt;97&lt;/key&gt;&lt;/foreign-keys&gt;&lt;ref-type name="Journal Article"&gt;17&lt;/ref-type&gt;&lt;contributors&gt;&lt;authors&gt;&lt;author&gt;Kinfe, Thomas M&lt;/author&gt;&lt;author&gt;Pintea, Bogdan&lt;/author&gt;&lt;author&gt;Muhammad, Sajjad&lt;/author&gt;&lt;author&gt;Zaremba, Sebastian&lt;/author&gt;&lt;author&gt;Roeske, Sandra&lt;/author&gt;&lt;author&gt;Simon, Bruce J&lt;/author&gt;&lt;author&gt;Vatter, Hartmut&lt;/author&gt;&lt;/authors&gt;&lt;/contributors&gt;&lt;titles&gt;&lt;title&gt;Cervical non-invasive vagus nerve stimulation (nVNS) for preventive and acute treatment of episodic and chronic migraine and migraine-associated sleep disturbance: preliminary findings from a prospective observational cohort study&lt;/title&gt;&lt;secondary-title&gt;The journal of headache and pain&lt;/secondary-title&gt;&lt;/titles&gt;&lt;periodical&gt;&lt;full-title&gt;The journal of headache and pain&lt;/full-title&gt;&lt;/periodical&gt;&lt;pages&gt;1-11&lt;/pages&gt;&lt;volume&gt;16&lt;/volume&gt;&lt;dates&gt;&lt;year&gt;2015&lt;/year&gt;&lt;/dates&gt;&lt;isbn&gt;1129-2369&lt;/isbn&gt;&lt;urls&gt;&lt;/urls&gt;&lt;/record&gt;&lt;/Cite&gt;&lt;/EndNote&gt;</w:instrText>
      </w:r>
      <w:r w:rsidRPr="00EC3AAB">
        <w:rPr>
          <w:rFonts w:asciiTheme="majorBidi" w:hAnsiTheme="majorBidi" w:cstheme="majorBidi"/>
          <w:sz w:val="22"/>
          <w:szCs w:val="20"/>
          <w:lang w:val="en-GB"/>
        </w:rPr>
        <w:fldChar w:fldCharType="separate"/>
      </w:r>
      <w:r w:rsidRPr="00EC3AAB">
        <w:rPr>
          <w:rFonts w:asciiTheme="majorBidi" w:hAnsiTheme="majorBidi" w:cstheme="majorBidi"/>
          <w:sz w:val="22"/>
          <w:szCs w:val="20"/>
          <w:lang w:val="en-GB"/>
        </w:rPr>
        <w:t>(16)</w:t>
      </w:r>
      <w:r w:rsidRPr="00EC3AAB">
        <w:rPr>
          <w:rFonts w:asciiTheme="majorBidi" w:hAnsiTheme="majorBidi" w:cstheme="majorBidi"/>
          <w:sz w:val="22"/>
          <w:szCs w:val="20"/>
          <w:lang w:val="en-GB"/>
        </w:rPr>
        <w:fldChar w:fldCharType="end"/>
      </w:r>
      <w:r w:rsidRPr="00EC3AAB">
        <w:rPr>
          <w:rFonts w:asciiTheme="majorBidi" w:hAnsiTheme="majorBidi" w:cstheme="majorBidi"/>
          <w:sz w:val="22"/>
          <w:szCs w:val="20"/>
          <w:lang w:val="en-GB"/>
        </w:rPr>
        <w:t>.</w:t>
      </w:r>
    </w:p>
    <w:p w14:paraId="54E75A47"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lang w:val="en-GB"/>
        </w:rPr>
        <w:t>Current</w:t>
      </w:r>
      <w:r w:rsidRPr="00EC3AAB">
        <w:rPr>
          <w:rFonts w:asciiTheme="majorBidi" w:hAnsiTheme="majorBidi" w:cstheme="majorBidi"/>
          <w:sz w:val="22"/>
          <w:szCs w:val="20"/>
        </w:rPr>
        <w:t xml:space="preserve"> study found a borderline significant difference (p = 0.05) favoring greater pain reduction in the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(VNS) group over TENS.</w:t>
      </w:r>
      <w:r w:rsidRPr="00EC3AAB">
        <w:rPr>
          <w:rFonts w:asciiTheme="majorBidi" w:hAnsiTheme="majorBidi" w:cstheme="majorBidi"/>
          <w:sz w:val="22"/>
          <w:szCs w:val="20"/>
          <w:lang w:val="en-GB"/>
        </w:rPr>
        <w:t xml:space="preserve"> </w:t>
      </w:r>
      <w:r w:rsidRPr="00EC3AAB">
        <w:rPr>
          <w:rFonts w:asciiTheme="majorBidi" w:hAnsiTheme="majorBidi" w:cstheme="majorBidi"/>
          <w:sz w:val="22"/>
          <w:szCs w:val="20"/>
        </w:rPr>
        <w:t xml:space="preserve">This aligns with a randomized crossover study on auricular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where between-group differences in VAS scores after stimulation were not significant (p = 0.7) compared to sham, suggesting that the magnitude of VAS reduction is often subtle and sample-dependent</w:t>
      </w:r>
      <w:r w:rsidRPr="00EC3AAB">
        <w:rPr>
          <w:rFonts w:asciiTheme="majorBidi" w:hAnsiTheme="majorBidi" w:cstheme="majorBidi"/>
          <w:sz w:val="22"/>
          <w:szCs w:val="20"/>
          <w:lang w:val="en-GB"/>
        </w:rPr>
        <w:t xml:space="preserve"> </w:t>
      </w:r>
      <w:proofErr w:type="gramStart"/>
      <w:r w:rsidRPr="00EC3AAB">
        <w:rPr>
          <w:rFonts w:asciiTheme="majorBidi" w:hAnsiTheme="majorBidi" w:cstheme="majorBidi"/>
          <w:sz w:val="22"/>
          <w:szCs w:val="20"/>
        </w:rPr>
        <w:t>In</w:t>
      </w:r>
      <w:proofErr w:type="gramEnd"/>
      <w:r w:rsidRPr="00EC3AAB">
        <w:rPr>
          <w:rFonts w:asciiTheme="majorBidi" w:hAnsiTheme="majorBidi" w:cstheme="majorBidi"/>
          <w:sz w:val="22"/>
          <w:szCs w:val="20"/>
        </w:rPr>
        <w:t xml:space="preserve"> comparison to no intervention, pain intensity decreased after all interventions (</w:t>
      </w:r>
      <w:proofErr w:type="spellStart"/>
      <w:r w:rsidRPr="00EC3AAB">
        <w:rPr>
          <w:rFonts w:asciiTheme="majorBidi" w:hAnsiTheme="majorBidi" w:cstheme="majorBidi"/>
          <w:sz w:val="22"/>
          <w:szCs w:val="20"/>
        </w:rPr>
        <w:t>ηp</w:t>
      </w:r>
      <w:proofErr w:type="spellEnd"/>
      <w:r w:rsidRPr="00EC3AAB">
        <w:rPr>
          <w:rFonts w:asciiTheme="majorBidi" w:hAnsiTheme="majorBidi" w:cstheme="majorBidi"/>
          <w:sz w:val="22"/>
          <w:szCs w:val="20"/>
        </w:rPr>
        <w:t xml:space="preserve"> = 0.22, P &lt;.001; mean difference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over no intervention 9.5; 95% CI], 3.6-15.4; P &lt;.001). Prior to the commencement of TSP,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had a greater hypoalgesia impact than both placebo and sham in males (mean differences for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versus placebo 6.2; 95% CI, 0.2-12.1; P &lt;.05;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against sham 6.2; 95% CI, 0.2-12.1). When compared to no intervention, women's TSP response under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was lower (median difference, 7.5; 95% CI, 3.5-15.0; P =.003)</w:t>
      </w:r>
      <w:r w:rsidRPr="00EC3AAB">
        <w:rPr>
          <w:rFonts w:asciiTheme="majorBidi" w:hAnsiTheme="majorBidi" w:cstheme="majorBidi"/>
          <w:sz w:val="22"/>
          <w:szCs w:val="20"/>
          <w:lang w:val="en-GB"/>
        </w:rPr>
        <w:t xml:space="preserve"> </w:t>
      </w:r>
      <w:r w:rsidRPr="00EC3AAB">
        <w:rPr>
          <w:rFonts w:asciiTheme="majorBidi" w:hAnsiTheme="majorBidi" w:cstheme="majorBidi"/>
          <w:sz w:val="22"/>
          <w:szCs w:val="20"/>
          <w:lang w:val="en-GB"/>
        </w:rPr>
        <w:fldChar w:fldCharType="begin"/>
      </w:r>
      <w:r w:rsidRPr="00EC3AAB">
        <w:rPr>
          <w:rFonts w:asciiTheme="majorBidi" w:hAnsiTheme="majorBidi" w:cstheme="majorBidi"/>
          <w:sz w:val="22"/>
          <w:szCs w:val="20"/>
          <w:lang w:val="en-GB"/>
        </w:rPr>
        <w:instrText xml:space="preserve"> ADDIN EN.CITE &lt;EndNote&gt;&lt;Cite&gt;&lt;Author&gt;Janner&lt;/Author&gt;&lt;Year&gt;2018&lt;/Year&gt;&lt;RecNum&gt;98&lt;/RecNum&gt;&lt;DisplayText&gt;(17)&lt;/DisplayText&gt;&lt;record&gt;&lt;rec-number&gt;98&lt;/rec-number&gt;&lt;foreign-keys&gt;&lt;key app="EN" db-id="9ewpev003x0vzfewf5wvwxxzatrtedpd92pa" timestamp="1752146321"&gt;98&lt;/key&gt;&lt;/foreign-keys&gt;&lt;ref-type name="Journal Article"&gt;17&lt;/ref-type&gt;&lt;contributors&gt;&lt;authors&gt;&lt;author&gt;Janner, Henriette&lt;/author&gt;&lt;author&gt;Klausenitz, Catharina&lt;/author&gt;&lt;author&gt;Gürtler, Nancy&lt;/author&gt;&lt;author&gt;Hahnenkamp, Klaus&lt;/author&gt;&lt;author&gt;Usichenko, Taras I&lt;/author&gt;&lt;/authors&gt;&lt;/contributors&gt;&lt;titles&gt;&lt;title&gt;Effects of electrical transcutaneous vagus nerve stimulation on the perceived intensity of repetitive painful heat stimuli: a blinded placebo-and sham-controlled randomized crossover investigation&lt;/title&gt;&lt;secondary-title&gt;Anesthesia &amp;amp; Analgesia&lt;/secondary-title&gt;&lt;/titles&gt;&lt;periodical&gt;&lt;full-title&gt;Anesthesia &amp;amp; Analgesia&lt;/full-title&gt;&lt;/periodical&gt;&lt;pages&gt;2085-2092&lt;/pages&gt;&lt;volume&gt;126&lt;/volume&gt;&lt;number&gt;6&lt;/number&gt;&lt;dates&gt;&lt;year&gt;2018&lt;/year&gt;&lt;/dates&gt;&lt;isbn&gt;0003-2999&lt;/isbn&gt;&lt;urls&gt;&lt;/urls&gt;&lt;/record&gt;&lt;/Cite&gt;&lt;/EndNote&gt;</w:instrText>
      </w:r>
      <w:r w:rsidRPr="00EC3AAB">
        <w:rPr>
          <w:rFonts w:asciiTheme="majorBidi" w:hAnsiTheme="majorBidi" w:cstheme="majorBidi"/>
          <w:sz w:val="22"/>
          <w:szCs w:val="20"/>
          <w:lang w:val="en-GB"/>
        </w:rPr>
        <w:fldChar w:fldCharType="separate"/>
      </w:r>
      <w:r w:rsidRPr="00EC3AAB">
        <w:rPr>
          <w:rFonts w:asciiTheme="majorBidi" w:hAnsiTheme="majorBidi" w:cstheme="majorBidi"/>
          <w:sz w:val="22"/>
          <w:szCs w:val="20"/>
          <w:lang w:val="en-GB"/>
        </w:rPr>
        <w:t>(17)</w:t>
      </w:r>
      <w:r w:rsidRPr="00EC3AAB">
        <w:rPr>
          <w:rFonts w:asciiTheme="majorBidi" w:hAnsiTheme="majorBidi" w:cstheme="majorBidi"/>
          <w:sz w:val="22"/>
          <w:szCs w:val="20"/>
          <w:lang w:val="en-GB"/>
        </w:rPr>
        <w:fldChar w:fldCharType="end"/>
      </w:r>
      <w:r w:rsidRPr="00EC3AAB">
        <w:rPr>
          <w:rFonts w:asciiTheme="majorBidi" w:hAnsiTheme="majorBidi" w:cstheme="majorBidi"/>
          <w:sz w:val="22"/>
          <w:szCs w:val="20"/>
        </w:rPr>
        <w:t xml:space="preserve">. </w:t>
      </w:r>
    </w:p>
    <w:p w14:paraId="082CDFC0" w14:textId="77777777" w:rsidR="00B16FD3" w:rsidRDefault="00B16FD3" w:rsidP="004D5CE1">
      <w:pPr>
        <w:spacing w:line="240" w:lineRule="auto"/>
        <w:jc w:val="both"/>
        <w:rPr>
          <w:rFonts w:asciiTheme="majorBidi" w:hAnsiTheme="majorBidi" w:cstheme="majorBidi"/>
          <w:b/>
          <w:bCs/>
          <w:sz w:val="22"/>
          <w:szCs w:val="20"/>
          <w:lang w:val="en-GB"/>
        </w:rPr>
      </w:pPr>
      <w:bookmarkStart w:id="9" w:name="_Toc207537326"/>
    </w:p>
    <w:p w14:paraId="4A7F2777" w14:textId="35B1FC68" w:rsidR="004D5CE1" w:rsidRPr="00B16FD3" w:rsidRDefault="004D5CE1" w:rsidP="004D5CE1">
      <w:pPr>
        <w:spacing w:line="240" w:lineRule="auto"/>
        <w:jc w:val="both"/>
        <w:rPr>
          <w:rFonts w:asciiTheme="majorBidi" w:hAnsiTheme="majorBidi" w:cstheme="majorBidi"/>
          <w:b/>
          <w:bCs/>
          <w:sz w:val="22"/>
          <w:szCs w:val="20"/>
          <w:lang w:val="en-GB"/>
        </w:rPr>
      </w:pPr>
      <w:r w:rsidRPr="00B16FD3">
        <w:rPr>
          <w:rFonts w:asciiTheme="majorBidi" w:hAnsiTheme="majorBidi" w:cstheme="majorBidi"/>
          <w:b/>
          <w:bCs/>
          <w:sz w:val="22"/>
          <w:szCs w:val="20"/>
          <w:lang w:val="en-GB"/>
        </w:rPr>
        <w:t>CONCLUSION</w:t>
      </w:r>
      <w:bookmarkEnd w:id="9"/>
    </w:p>
    <w:p w14:paraId="0B19D9A0"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In conclusion, both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and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considerably enhance quality of life while lowering migraine-related pain and impairment. However, </w:t>
      </w:r>
      <w:proofErr w:type="spellStart"/>
      <w:r w:rsidRPr="00EC3AAB">
        <w:rPr>
          <w:rFonts w:asciiTheme="majorBidi" w:hAnsiTheme="majorBidi" w:cstheme="majorBidi"/>
          <w:sz w:val="22"/>
          <w:szCs w:val="20"/>
        </w:rPr>
        <w:t>tVNS</w:t>
      </w:r>
      <w:proofErr w:type="spellEnd"/>
      <w:r w:rsidRPr="00EC3AAB">
        <w:rPr>
          <w:rFonts w:asciiTheme="majorBidi" w:hAnsiTheme="majorBidi" w:cstheme="majorBidi"/>
          <w:sz w:val="22"/>
          <w:szCs w:val="20"/>
        </w:rPr>
        <w:t xml:space="preserve"> showed better results in terms of headache effect and pain intensity decrease. These results highlight </w:t>
      </w:r>
      <w:proofErr w:type="spellStart"/>
      <w:r w:rsidRPr="00EC3AAB">
        <w:rPr>
          <w:rFonts w:asciiTheme="majorBidi" w:hAnsiTheme="majorBidi" w:cstheme="majorBidi"/>
          <w:sz w:val="22"/>
          <w:szCs w:val="20"/>
        </w:rPr>
        <w:t>tVNS's</w:t>
      </w:r>
      <w:proofErr w:type="spellEnd"/>
      <w:r w:rsidRPr="00EC3AAB">
        <w:rPr>
          <w:rFonts w:asciiTheme="majorBidi" w:hAnsiTheme="majorBidi" w:cstheme="majorBidi"/>
          <w:sz w:val="22"/>
          <w:szCs w:val="20"/>
        </w:rPr>
        <w:t xml:space="preserve"> therapeutic promise as an efficient, non-invasive, and non-pharmacological migraine treatment. Extending access to such interventions might significantly enhance patient outcomes and lessen healthcare's dependence on medication-based therapy, as the prevalence of migraines continues to climb internationally.</w:t>
      </w:r>
    </w:p>
    <w:p w14:paraId="2DA0787B" w14:textId="77777777" w:rsidR="00DA0DB3" w:rsidRDefault="00DA0DB3" w:rsidP="004D5CE1">
      <w:pPr>
        <w:spacing w:line="240" w:lineRule="auto"/>
        <w:jc w:val="both"/>
        <w:rPr>
          <w:rFonts w:asciiTheme="majorBidi" w:hAnsiTheme="majorBidi" w:cstheme="majorBidi"/>
          <w:b/>
          <w:bCs/>
          <w:sz w:val="22"/>
          <w:szCs w:val="20"/>
        </w:rPr>
      </w:pPr>
      <w:bookmarkStart w:id="10" w:name="_Toc207537330"/>
    </w:p>
    <w:p w14:paraId="693AFA99" w14:textId="77777777" w:rsidR="00DA0DB3" w:rsidRDefault="00DA0DB3">
      <w:pPr>
        <w:spacing w:after="200"/>
        <w:rPr>
          <w:rFonts w:asciiTheme="majorBidi" w:hAnsiTheme="majorBidi" w:cstheme="majorBidi"/>
          <w:b/>
          <w:bCs/>
          <w:sz w:val="22"/>
          <w:szCs w:val="20"/>
        </w:rPr>
      </w:pPr>
      <w:r>
        <w:rPr>
          <w:rFonts w:asciiTheme="majorBidi" w:hAnsiTheme="majorBidi" w:cstheme="majorBidi"/>
          <w:b/>
          <w:bCs/>
          <w:sz w:val="22"/>
          <w:szCs w:val="20"/>
        </w:rPr>
        <w:br w:type="page"/>
      </w:r>
    </w:p>
    <w:p w14:paraId="1AE793AA" w14:textId="003AC241" w:rsidR="004D5CE1" w:rsidRPr="00DA0DB3" w:rsidRDefault="004D5CE1" w:rsidP="004D5CE1">
      <w:pPr>
        <w:spacing w:line="240" w:lineRule="auto"/>
        <w:jc w:val="both"/>
        <w:rPr>
          <w:rFonts w:asciiTheme="majorBidi" w:hAnsiTheme="majorBidi" w:cstheme="majorBidi"/>
          <w:b/>
          <w:bCs/>
          <w:sz w:val="22"/>
          <w:szCs w:val="20"/>
        </w:rPr>
      </w:pPr>
      <w:r w:rsidRPr="00DA0DB3">
        <w:rPr>
          <w:rFonts w:asciiTheme="majorBidi" w:hAnsiTheme="majorBidi" w:cstheme="majorBidi"/>
          <w:b/>
          <w:bCs/>
          <w:sz w:val="22"/>
          <w:szCs w:val="20"/>
        </w:rPr>
        <w:lastRenderedPageBreak/>
        <w:t>REFERENCES</w:t>
      </w:r>
      <w:bookmarkEnd w:id="10"/>
      <w:r w:rsidRPr="00DA0DB3">
        <w:rPr>
          <w:rFonts w:asciiTheme="majorBidi" w:hAnsiTheme="majorBidi" w:cstheme="majorBidi"/>
          <w:b/>
          <w:bCs/>
          <w:sz w:val="22"/>
          <w:szCs w:val="20"/>
        </w:rPr>
        <w:t xml:space="preserve"> </w:t>
      </w:r>
    </w:p>
    <w:p w14:paraId="4118ACCF"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fldChar w:fldCharType="begin"/>
      </w:r>
      <w:r w:rsidRPr="00EC3AAB">
        <w:rPr>
          <w:rFonts w:asciiTheme="majorBidi" w:hAnsiTheme="majorBidi" w:cstheme="majorBidi"/>
          <w:sz w:val="22"/>
          <w:szCs w:val="20"/>
        </w:rPr>
        <w:instrText xml:space="preserve"> ADDIN EN.REFLIST </w:instrText>
      </w:r>
      <w:r w:rsidRPr="00EC3AAB">
        <w:rPr>
          <w:rFonts w:asciiTheme="majorBidi" w:hAnsiTheme="majorBidi" w:cstheme="majorBidi"/>
          <w:sz w:val="22"/>
          <w:szCs w:val="20"/>
        </w:rPr>
        <w:fldChar w:fldCharType="separate"/>
      </w:r>
      <w:r w:rsidRPr="00EC3AAB">
        <w:rPr>
          <w:rFonts w:asciiTheme="majorBidi" w:hAnsiTheme="majorBidi" w:cstheme="majorBidi"/>
          <w:sz w:val="22"/>
          <w:szCs w:val="20"/>
        </w:rPr>
        <w:t>1.</w:t>
      </w:r>
      <w:r w:rsidRPr="00EC3AAB">
        <w:rPr>
          <w:rFonts w:asciiTheme="majorBidi" w:hAnsiTheme="majorBidi" w:cstheme="majorBidi"/>
          <w:sz w:val="22"/>
          <w:szCs w:val="20"/>
        </w:rPr>
        <w:tab/>
        <w:t xml:space="preserve">Pescador Ruschel MA, De Jesus O. Migraine Headache.  </w:t>
      </w:r>
      <w:proofErr w:type="spellStart"/>
      <w:r w:rsidRPr="00EC3AAB">
        <w:rPr>
          <w:rFonts w:asciiTheme="majorBidi" w:hAnsiTheme="majorBidi" w:cstheme="majorBidi"/>
          <w:sz w:val="22"/>
          <w:szCs w:val="20"/>
        </w:rPr>
        <w:t>StatPearls</w:t>
      </w:r>
      <w:proofErr w:type="spellEnd"/>
      <w:r w:rsidRPr="00EC3AAB">
        <w:rPr>
          <w:rFonts w:asciiTheme="majorBidi" w:hAnsiTheme="majorBidi" w:cstheme="majorBidi"/>
          <w:sz w:val="22"/>
          <w:szCs w:val="20"/>
        </w:rPr>
        <w:t xml:space="preserve">. Treasure Island (FL): </w:t>
      </w:r>
      <w:proofErr w:type="spellStart"/>
      <w:r w:rsidRPr="00EC3AAB">
        <w:rPr>
          <w:rFonts w:asciiTheme="majorBidi" w:hAnsiTheme="majorBidi" w:cstheme="majorBidi"/>
          <w:sz w:val="22"/>
          <w:szCs w:val="20"/>
        </w:rPr>
        <w:t>StatPearls</w:t>
      </w:r>
      <w:proofErr w:type="spellEnd"/>
      <w:r w:rsidRPr="00EC3AAB">
        <w:rPr>
          <w:rFonts w:asciiTheme="majorBidi" w:hAnsiTheme="majorBidi" w:cstheme="majorBidi"/>
          <w:sz w:val="22"/>
          <w:szCs w:val="20"/>
        </w:rPr>
        <w:t xml:space="preserve"> Publishing</w:t>
      </w:r>
    </w:p>
    <w:p w14:paraId="6AAA690C"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 xml:space="preserve">Copyright © 2025, </w:t>
      </w:r>
      <w:proofErr w:type="spellStart"/>
      <w:r w:rsidRPr="00EC3AAB">
        <w:rPr>
          <w:rFonts w:asciiTheme="majorBidi" w:hAnsiTheme="majorBidi" w:cstheme="majorBidi"/>
          <w:sz w:val="22"/>
          <w:szCs w:val="20"/>
        </w:rPr>
        <w:t>StatPearls</w:t>
      </w:r>
      <w:proofErr w:type="spellEnd"/>
      <w:r w:rsidRPr="00EC3AAB">
        <w:rPr>
          <w:rFonts w:asciiTheme="majorBidi" w:hAnsiTheme="majorBidi" w:cstheme="majorBidi"/>
          <w:sz w:val="22"/>
          <w:szCs w:val="20"/>
        </w:rPr>
        <w:t xml:space="preserve"> Publishing LLC.; 2025.</w:t>
      </w:r>
    </w:p>
    <w:p w14:paraId="268CE81F"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2.</w:t>
      </w:r>
      <w:r w:rsidRPr="00EC3AAB">
        <w:rPr>
          <w:rFonts w:asciiTheme="majorBidi" w:hAnsiTheme="majorBidi" w:cstheme="majorBidi"/>
          <w:sz w:val="22"/>
          <w:szCs w:val="20"/>
        </w:rPr>
        <w:tab/>
        <w:t>Athar F, Zahid A, Farooq M, Ayyan M, Ashraf M, Farooq M, et al. Frequency of migraine according to the ICHD-3 criteria and its association with sociodemographic and triggering factors in Pakistan: A cross-sectional study. Annals of Medicine and Surgery. 2022;82.</w:t>
      </w:r>
    </w:p>
    <w:p w14:paraId="06B1C349"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3.</w:t>
      </w:r>
      <w:r w:rsidRPr="00EC3AAB">
        <w:rPr>
          <w:rFonts w:asciiTheme="majorBidi" w:hAnsiTheme="majorBidi" w:cstheme="majorBidi"/>
          <w:sz w:val="22"/>
          <w:szCs w:val="20"/>
        </w:rPr>
        <w:tab/>
        <w:t>DAHIYA V, ROHILLA A, JAIN S, ROHILLA S. ATENOLOL IN EPISODIC MIGRAINE PROPHYLAXIS: A REVIEW. Asian J Pharm Clin Res. 2022;15(6):9-16.</w:t>
      </w:r>
    </w:p>
    <w:p w14:paraId="6C9D68B6"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4.</w:t>
      </w:r>
      <w:r w:rsidRPr="00EC3AAB">
        <w:rPr>
          <w:rFonts w:asciiTheme="majorBidi" w:hAnsiTheme="majorBidi" w:cstheme="majorBidi"/>
          <w:sz w:val="22"/>
          <w:szCs w:val="20"/>
        </w:rPr>
        <w:tab/>
        <w:t xml:space="preserve">Farwa A, Afra Z, </w:t>
      </w:r>
      <w:proofErr w:type="spellStart"/>
      <w:r w:rsidRPr="00EC3AAB">
        <w:rPr>
          <w:rFonts w:asciiTheme="majorBidi" w:hAnsiTheme="majorBidi" w:cstheme="majorBidi"/>
          <w:sz w:val="22"/>
          <w:szCs w:val="20"/>
        </w:rPr>
        <w:t>Minaam</w:t>
      </w:r>
      <w:proofErr w:type="spellEnd"/>
      <w:r w:rsidRPr="00EC3AAB">
        <w:rPr>
          <w:rFonts w:asciiTheme="majorBidi" w:hAnsiTheme="majorBidi" w:cstheme="majorBidi"/>
          <w:sz w:val="22"/>
          <w:szCs w:val="20"/>
        </w:rPr>
        <w:t xml:space="preserve"> F, Muhammad A, Mohammad A, Mukarram F, et al. Frequency of migraine according to the ICHD-3 criteria and its association with sociodemographic and triggering factors in Pakistan: A cross-sectional study. Annals of Medicine and Surgery. </w:t>
      </w:r>
      <w:proofErr w:type="gramStart"/>
      <w:r w:rsidRPr="00EC3AAB">
        <w:rPr>
          <w:rFonts w:asciiTheme="majorBidi" w:hAnsiTheme="majorBidi" w:cstheme="majorBidi"/>
          <w:sz w:val="22"/>
          <w:szCs w:val="20"/>
        </w:rPr>
        <w:t>2022;82:104589</w:t>
      </w:r>
      <w:proofErr w:type="gramEnd"/>
      <w:r w:rsidRPr="00EC3AAB">
        <w:rPr>
          <w:rFonts w:asciiTheme="majorBidi" w:hAnsiTheme="majorBidi" w:cstheme="majorBidi"/>
          <w:sz w:val="22"/>
          <w:szCs w:val="20"/>
        </w:rPr>
        <w:t>.</w:t>
      </w:r>
    </w:p>
    <w:p w14:paraId="6DC6F9DD"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5.</w:t>
      </w:r>
      <w:r w:rsidRPr="00EC3AAB">
        <w:rPr>
          <w:rFonts w:asciiTheme="majorBidi" w:hAnsiTheme="majorBidi" w:cstheme="majorBidi"/>
          <w:sz w:val="22"/>
          <w:szCs w:val="20"/>
        </w:rPr>
        <w:tab/>
        <w:t>Lipton RB, Stewart WF, Scher AI. Epidemiology and economic impact of migraine. Current medical research and opinion. 2001;17(sup1</w:t>
      </w:r>
      <w:proofErr w:type="gramStart"/>
      <w:r w:rsidRPr="00EC3AAB">
        <w:rPr>
          <w:rFonts w:asciiTheme="majorBidi" w:hAnsiTheme="majorBidi" w:cstheme="majorBidi"/>
          <w:sz w:val="22"/>
          <w:szCs w:val="20"/>
        </w:rPr>
        <w:t>):s</w:t>
      </w:r>
      <w:proofErr w:type="gramEnd"/>
      <w:r w:rsidRPr="00EC3AAB">
        <w:rPr>
          <w:rFonts w:asciiTheme="majorBidi" w:hAnsiTheme="majorBidi" w:cstheme="majorBidi"/>
          <w:sz w:val="22"/>
          <w:szCs w:val="20"/>
        </w:rPr>
        <w:t>4-12.</w:t>
      </w:r>
    </w:p>
    <w:p w14:paraId="056C74EC"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6.</w:t>
      </w:r>
      <w:r w:rsidRPr="00EC3AAB">
        <w:rPr>
          <w:rFonts w:asciiTheme="majorBidi" w:hAnsiTheme="majorBidi" w:cstheme="majorBidi"/>
          <w:sz w:val="22"/>
          <w:szCs w:val="20"/>
        </w:rPr>
        <w:tab/>
        <w:t xml:space="preserve">. !!! INVALID </w:t>
      </w:r>
      <w:proofErr w:type="gramStart"/>
      <w:r w:rsidRPr="00EC3AAB">
        <w:rPr>
          <w:rFonts w:asciiTheme="majorBidi" w:hAnsiTheme="majorBidi" w:cstheme="majorBidi"/>
          <w:sz w:val="22"/>
          <w:szCs w:val="20"/>
        </w:rPr>
        <w:t>CITATION !!!</w:t>
      </w:r>
      <w:proofErr w:type="gramEnd"/>
      <w:r w:rsidRPr="00EC3AAB">
        <w:rPr>
          <w:rFonts w:asciiTheme="majorBidi" w:hAnsiTheme="majorBidi" w:cstheme="majorBidi"/>
          <w:sz w:val="22"/>
          <w:szCs w:val="20"/>
        </w:rPr>
        <w:t xml:space="preserve"> (9).</w:t>
      </w:r>
    </w:p>
    <w:p w14:paraId="2CCE28EC"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7.</w:t>
      </w:r>
      <w:r w:rsidRPr="00EC3AAB">
        <w:rPr>
          <w:rFonts w:asciiTheme="majorBidi" w:hAnsiTheme="majorBidi" w:cstheme="majorBidi"/>
          <w:sz w:val="22"/>
          <w:szCs w:val="20"/>
        </w:rPr>
        <w:tab/>
        <w:t xml:space="preserve">Jamali Y, Khan H, Channa R, Khuhro A, Shaikh A, Chandio Z. Prevalence of Migraine Headache in Pakistan -A Narrative Review. Journal of Health and Rehabilitation Research. </w:t>
      </w:r>
      <w:proofErr w:type="gramStart"/>
      <w:r w:rsidRPr="00EC3AAB">
        <w:rPr>
          <w:rFonts w:asciiTheme="majorBidi" w:hAnsiTheme="majorBidi" w:cstheme="majorBidi"/>
          <w:sz w:val="22"/>
          <w:szCs w:val="20"/>
        </w:rPr>
        <w:t>2024;4:23</w:t>
      </w:r>
      <w:proofErr w:type="gramEnd"/>
      <w:r w:rsidRPr="00EC3AAB">
        <w:rPr>
          <w:rFonts w:asciiTheme="majorBidi" w:hAnsiTheme="majorBidi" w:cstheme="majorBidi"/>
          <w:sz w:val="22"/>
          <w:szCs w:val="20"/>
        </w:rPr>
        <w:t xml:space="preserve"> - 7.</w:t>
      </w:r>
    </w:p>
    <w:p w14:paraId="7C04BF7F"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8.</w:t>
      </w:r>
      <w:r w:rsidRPr="00EC3AAB">
        <w:rPr>
          <w:rFonts w:asciiTheme="majorBidi" w:hAnsiTheme="majorBidi" w:cstheme="majorBidi"/>
          <w:sz w:val="22"/>
          <w:szCs w:val="20"/>
        </w:rPr>
        <w:tab/>
        <w:t>Mohammad Moosa B, Mohammad Ammar Ur R, Ilsa B, Mohammad Sameed S, Javeria M, Ramsha Mushtaq K. Awareness, Prevalence, Causes, and Effects of Migraine Among Medical Students in Lahore, Pakistan: A Cross-Sectional Study. Journal of Society of Prevention, Advocacy and Research KEMU. 2025;3(3):50-4.</w:t>
      </w:r>
    </w:p>
    <w:p w14:paraId="5D335C34"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9.</w:t>
      </w:r>
      <w:r w:rsidRPr="00EC3AAB">
        <w:rPr>
          <w:rFonts w:asciiTheme="majorBidi" w:hAnsiTheme="majorBidi" w:cstheme="majorBidi"/>
          <w:sz w:val="22"/>
          <w:szCs w:val="20"/>
        </w:rPr>
        <w:tab/>
        <w:t xml:space="preserve">. !!! INVALID </w:t>
      </w:r>
      <w:proofErr w:type="gramStart"/>
      <w:r w:rsidRPr="00EC3AAB">
        <w:rPr>
          <w:rFonts w:asciiTheme="majorBidi" w:hAnsiTheme="majorBidi" w:cstheme="majorBidi"/>
          <w:sz w:val="22"/>
          <w:szCs w:val="20"/>
        </w:rPr>
        <w:t>CITATION !!!</w:t>
      </w:r>
      <w:proofErr w:type="gramEnd"/>
      <w:r w:rsidRPr="00EC3AAB">
        <w:rPr>
          <w:rFonts w:asciiTheme="majorBidi" w:hAnsiTheme="majorBidi" w:cstheme="majorBidi"/>
          <w:sz w:val="22"/>
          <w:szCs w:val="20"/>
        </w:rPr>
        <w:t xml:space="preserve"> (14).</w:t>
      </w:r>
    </w:p>
    <w:p w14:paraId="1665147B"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10.</w:t>
      </w:r>
      <w:r w:rsidRPr="00EC3AAB">
        <w:rPr>
          <w:rFonts w:asciiTheme="majorBidi" w:hAnsiTheme="majorBidi" w:cstheme="majorBidi"/>
          <w:sz w:val="22"/>
          <w:szCs w:val="20"/>
        </w:rPr>
        <w:tab/>
        <w:t xml:space="preserve">Song D, Li P, Wang Y, Cao J. Noninvasive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for migraine: a systematic review and meta-analysis of randomized controlled trials. Front Neurol. </w:t>
      </w:r>
      <w:proofErr w:type="gramStart"/>
      <w:r w:rsidRPr="00EC3AAB">
        <w:rPr>
          <w:rFonts w:asciiTheme="majorBidi" w:hAnsiTheme="majorBidi" w:cstheme="majorBidi"/>
          <w:sz w:val="22"/>
          <w:szCs w:val="20"/>
        </w:rPr>
        <w:t>2023;14:1190062</w:t>
      </w:r>
      <w:proofErr w:type="gramEnd"/>
      <w:r w:rsidRPr="00EC3AAB">
        <w:rPr>
          <w:rFonts w:asciiTheme="majorBidi" w:hAnsiTheme="majorBidi" w:cstheme="majorBidi"/>
          <w:sz w:val="22"/>
          <w:szCs w:val="20"/>
        </w:rPr>
        <w:t>.</w:t>
      </w:r>
    </w:p>
    <w:p w14:paraId="3ECF6124"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11.</w:t>
      </w:r>
      <w:r w:rsidRPr="00EC3AAB">
        <w:rPr>
          <w:rFonts w:asciiTheme="majorBidi" w:hAnsiTheme="majorBidi" w:cstheme="majorBidi"/>
          <w:sz w:val="22"/>
          <w:szCs w:val="20"/>
        </w:rPr>
        <w:tab/>
      </w:r>
      <w:proofErr w:type="spellStart"/>
      <w:r w:rsidRPr="00EC3AAB">
        <w:rPr>
          <w:rFonts w:asciiTheme="majorBidi" w:hAnsiTheme="majorBidi" w:cstheme="majorBidi"/>
          <w:sz w:val="22"/>
          <w:szCs w:val="20"/>
        </w:rPr>
        <w:t>Chorążka</w:t>
      </w:r>
      <w:proofErr w:type="spellEnd"/>
      <w:r w:rsidRPr="00EC3AAB">
        <w:rPr>
          <w:rFonts w:asciiTheme="majorBidi" w:hAnsiTheme="majorBidi" w:cstheme="majorBidi"/>
          <w:sz w:val="22"/>
          <w:szCs w:val="20"/>
        </w:rPr>
        <w:t xml:space="preserve"> K, Janoska M, </w:t>
      </w:r>
      <w:proofErr w:type="spellStart"/>
      <w:r w:rsidRPr="00EC3AAB">
        <w:rPr>
          <w:rFonts w:asciiTheme="majorBidi" w:hAnsiTheme="majorBidi" w:cstheme="majorBidi"/>
          <w:sz w:val="22"/>
          <w:szCs w:val="20"/>
        </w:rPr>
        <w:t>Domitrz</w:t>
      </w:r>
      <w:proofErr w:type="spellEnd"/>
      <w:r w:rsidRPr="00EC3AAB">
        <w:rPr>
          <w:rFonts w:asciiTheme="majorBidi" w:hAnsiTheme="majorBidi" w:cstheme="majorBidi"/>
          <w:sz w:val="22"/>
          <w:szCs w:val="20"/>
        </w:rPr>
        <w:t xml:space="preserve"> I. Body mass index and its impact on migraine prevalence and severity in female patients: preliminary results. </w:t>
      </w:r>
      <w:proofErr w:type="spellStart"/>
      <w:r w:rsidRPr="00EC3AAB">
        <w:rPr>
          <w:rFonts w:asciiTheme="majorBidi" w:hAnsiTheme="majorBidi" w:cstheme="majorBidi"/>
          <w:sz w:val="22"/>
          <w:szCs w:val="20"/>
        </w:rPr>
        <w:t>Neurologia</w:t>
      </w:r>
      <w:proofErr w:type="spellEnd"/>
      <w:r w:rsidRPr="00EC3AAB">
        <w:rPr>
          <w:rFonts w:asciiTheme="majorBidi" w:hAnsiTheme="majorBidi" w:cstheme="majorBidi"/>
          <w:sz w:val="22"/>
          <w:szCs w:val="20"/>
        </w:rPr>
        <w:t xml:space="preserve"> </w:t>
      </w:r>
      <w:proofErr w:type="spellStart"/>
      <w:r w:rsidRPr="00EC3AAB">
        <w:rPr>
          <w:rFonts w:asciiTheme="majorBidi" w:hAnsiTheme="majorBidi" w:cstheme="majorBidi"/>
          <w:sz w:val="22"/>
          <w:szCs w:val="20"/>
        </w:rPr>
        <w:t>i</w:t>
      </w:r>
      <w:proofErr w:type="spellEnd"/>
      <w:r w:rsidRPr="00EC3AAB">
        <w:rPr>
          <w:rFonts w:asciiTheme="majorBidi" w:hAnsiTheme="majorBidi" w:cstheme="majorBidi"/>
          <w:sz w:val="22"/>
          <w:szCs w:val="20"/>
        </w:rPr>
        <w:t xml:space="preserve"> </w:t>
      </w:r>
      <w:proofErr w:type="spellStart"/>
      <w:r w:rsidRPr="00EC3AAB">
        <w:rPr>
          <w:rFonts w:asciiTheme="majorBidi" w:hAnsiTheme="majorBidi" w:cstheme="majorBidi"/>
          <w:sz w:val="22"/>
          <w:szCs w:val="20"/>
        </w:rPr>
        <w:t>Neurochirurgia</w:t>
      </w:r>
      <w:proofErr w:type="spellEnd"/>
      <w:r w:rsidRPr="00EC3AAB">
        <w:rPr>
          <w:rFonts w:asciiTheme="majorBidi" w:hAnsiTheme="majorBidi" w:cstheme="majorBidi"/>
          <w:sz w:val="22"/>
          <w:szCs w:val="20"/>
        </w:rPr>
        <w:t xml:space="preserve"> Polska. 2014;48(3):163-6.</w:t>
      </w:r>
    </w:p>
    <w:p w14:paraId="34CE6D3B"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12.</w:t>
      </w:r>
      <w:r w:rsidRPr="00EC3AAB">
        <w:rPr>
          <w:rFonts w:asciiTheme="majorBidi" w:hAnsiTheme="majorBidi" w:cstheme="majorBidi"/>
          <w:sz w:val="22"/>
          <w:szCs w:val="20"/>
        </w:rPr>
        <w:tab/>
        <w:t>Bigal ME, Liberman JN, Lipton RB. Obesity and migraine: a population study. Neurology. 2006;66(4):545-50.</w:t>
      </w:r>
    </w:p>
    <w:p w14:paraId="6E415163"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13.</w:t>
      </w:r>
      <w:r w:rsidRPr="00EC3AAB">
        <w:rPr>
          <w:rFonts w:asciiTheme="majorBidi" w:hAnsiTheme="majorBidi" w:cstheme="majorBidi"/>
          <w:sz w:val="22"/>
          <w:szCs w:val="20"/>
        </w:rPr>
        <w:tab/>
        <w:t>Peterlin BL, Rosso AL, Rapoport AM, Scher AI. Obesity and migraine: the effect of age, gender and adipose tissue distribution. Headache: The Journal of Head and Face Pain. 2010;50(1):52-62.</w:t>
      </w:r>
    </w:p>
    <w:p w14:paraId="5ADC44D0"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14.</w:t>
      </w:r>
      <w:r w:rsidRPr="00EC3AAB">
        <w:rPr>
          <w:rFonts w:asciiTheme="majorBidi" w:hAnsiTheme="majorBidi" w:cstheme="majorBidi"/>
          <w:sz w:val="22"/>
          <w:szCs w:val="20"/>
        </w:rPr>
        <w:tab/>
        <w:t xml:space="preserve">Yu S, Liu R, Yang X, Zhao G, Qiao X, Feng J, et al. Body mass index and migraine: a survey of the Chinese adult population. The journal of headache and pain. </w:t>
      </w:r>
      <w:proofErr w:type="gramStart"/>
      <w:r w:rsidRPr="00EC3AAB">
        <w:rPr>
          <w:rFonts w:asciiTheme="majorBidi" w:hAnsiTheme="majorBidi" w:cstheme="majorBidi"/>
          <w:sz w:val="22"/>
          <w:szCs w:val="20"/>
        </w:rPr>
        <w:t>2012;13:531</w:t>
      </w:r>
      <w:proofErr w:type="gramEnd"/>
      <w:r w:rsidRPr="00EC3AAB">
        <w:rPr>
          <w:rFonts w:asciiTheme="majorBidi" w:hAnsiTheme="majorBidi" w:cstheme="majorBidi"/>
          <w:sz w:val="22"/>
          <w:szCs w:val="20"/>
        </w:rPr>
        <w:t>-6.</w:t>
      </w:r>
    </w:p>
    <w:p w14:paraId="4F48D786"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15.</w:t>
      </w:r>
      <w:r w:rsidRPr="00EC3AAB">
        <w:rPr>
          <w:rFonts w:asciiTheme="majorBidi" w:hAnsiTheme="majorBidi" w:cstheme="majorBidi"/>
          <w:sz w:val="22"/>
          <w:szCs w:val="20"/>
        </w:rPr>
        <w:tab/>
      </w:r>
      <w:proofErr w:type="spellStart"/>
      <w:r w:rsidRPr="00EC3AAB">
        <w:rPr>
          <w:rFonts w:asciiTheme="majorBidi" w:hAnsiTheme="majorBidi" w:cstheme="majorBidi"/>
          <w:sz w:val="22"/>
          <w:szCs w:val="20"/>
        </w:rPr>
        <w:t>Hokenek</w:t>
      </w:r>
      <w:proofErr w:type="spellEnd"/>
      <w:r w:rsidRPr="00EC3AAB">
        <w:rPr>
          <w:rFonts w:asciiTheme="majorBidi" w:hAnsiTheme="majorBidi" w:cstheme="majorBidi"/>
          <w:sz w:val="22"/>
          <w:szCs w:val="20"/>
        </w:rPr>
        <w:t xml:space="preserve"> NM, Erdogan MO, </w:t>
      </w:r>
      <w:proofErr w:type="spellStart"/>
      <w:r w:rsidRPr="00EC3AAB">
        <w:rPr>
          <w:rFonts w:asciiTheme="majorBidi" w:hAnsiTheme="majorBidi" w:cstheme="majorBidi"/>
          <w:sz w:val="22"/>
          <w:szCs w:val="20"/>
        </w:rPr>
        <w:t>Hokenek</w:t>
      </w:r>
      <w:proofErr w:type="spellEnd"/>
      <w:r w:rsidRPr="00EC3AAB">
        <w:rPr>
          <w:rFonts w:asciiTheme="majorBidi" w:hAnsiTheme="majorBidi" w:cstheme="majorBidi"/>
          <w:sz w:val="22"/>
          <w:szCs w:val="20"/>
        </w:rPr>
        <w:t xml:space="preserve"> UD, Algin A, </w:t>
      </w:r>
      <w:proofErr w:type="spellStart"/>
      <w:r w:rsidRPr="00EC3AAB">
        <w:rPr>
          <w:rFonts w:asciiTheme="majorBidi" w:hAnsiTheme="majorBidi" w:cstheme="majorBidi"/>
          <w:sz w:val="22"/>
          <w:szCs w:val="20"/>
        </w:rPr>
        <w:t>Tekyol</w:t>
      </w:r>
      <w:proofErr w:type="spellEnd"/>
      <w:r w:rsidRPr="00EC3AAB">
        <w:rPr>
          <w:rFonts w:asciiTheme="majorBidi" w:hAnsiTheme="majorBidi" w:cstheme="majorBidi"/>
          <w:sz w:val="22"/>
          <w:szCs w:val="20"/>
        </w:rPr>
        <w:t xml:space="preserve"> D, Seyhan AU. Treatment of migraine attacks by transcutaneous electrical nerve stimulation in emergency department: A randomize controlled trial. The American Journal of Emergency Medicine. </w:t>
      </w:r>
      <w:proofErr w:type="gramStart"/>
      <w:r w:rsidRPr="00EC3AAB">
        <w:rPr>
          <w:rFonts w:asciiTheme="majorBidi" w:hAnsiTheme="majorBidi" w:cstheme="majorBidi"/>
          <w:sz w:val="22"/>
          <w:szCs w:val="20"/>
        </w:rPr>
        <w:t>2021;39:80</w:t>
      </w:r>
      <w:proofErr w:type="gramEnd"/>
      <w:r w:rsidRPr="00EC3AAB">
        <w:rPr>
          <w:rFonts w:asciiTheme="majorBidi" w:hAnsiTheme="majorBidi" w:cstheme="majorBidi"/>
          <w:sz w:val="22"/>
          <w:szCs w:val="20"/>
        </w:rPr>
        <w:t>-5.</w:t>
      </w:r>
    </w:p>
    <w:p w14:paraId="3881021A"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16.</w:t>
      </w:r>
      <w:r w:rsidRPr="00EC3AAB">
        <w:rPr>
          <w:rFonts w:asciiTheme="majorBidi" w:hAnsiTheme="majorBidi" w:cstheme="majorBidi"/>
          <w:sz w:val="22"/>
          <w:szCs w:val="20"/>
        </w:rPr>
        <w:tab/>
        <w:t xml:space="preserve">Kinfe TM, Pintea B, Muhammad S, Zaremba S, Roeske S, Simon BJ, et al. Cervical non-invasive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w:t>
      </w:r>
      <w:proofErr w:type="spellStart"/>
      <w:r w:rsidRPr="00EC3AAB">
        <w:rPr>
          <w:rFonts w:asciiTheme="majorBidi" w:hAnsiTheme="majorBidi" w:cstheme="majorBidi"/>
          <w:sz w:val="22"/>
          <w:szCs w:val="20"/>
        </w:rPr>
        <w:t>nVNS</w:t>
      </w:r>
      <w:proofErr w:type="spellEnd"/>
      <w:r w:rsidRPr="00EC3AAB">
        <w:rPr>
          <w:rFonts w:asciiTheme="majorBidi" w:hAnsiTheme="majorBidi" w:cstheme="majorBidi"/>
          <w:sz w:val="22"/>
          <w:szCs w:val="20"/>
        </w:rPr>
        <w:t xml:space="preserve">) for preventive and acute treatment of episodic and chronic migraine and migraine-associated sleep disturbance: preliminary findings from a prospective observational cohort study. The journal of headache and pain. </w:t>
      </w:r>
      <w:proofErr w:type="gramStart"/>
      <w:r w:rsidRPr="00EC3AAB">
        <w:rPr>
          <w:rFonts w:asciiTheme="majorBidi" w:hAnsiTheme="majorBidi" w:cstheme="majorBidi"/>
          <w:sz w:val="22"/>
          <w:szCs w:val="20"/>
        </w:rPr>
        <w:t>2015;16:1</w:t>
      </w:r>
      <w:proofErr w:type="gramEnd"/>
      <w:r w:rsidRPr="00EC3AAB">
        <w:rPr>
          <w:rFonts w:asciiTheme="majorBidi" w:hAnsiTheme="majorBidi" w:cstheme="majorBidi"/>
          <w:sz w:val="22"/>
          <w:szCs w:val="20"/>
        </w:rPr>
        <w:t>-11.</w:t>
      </w:r>
    </w:p>
    <w:p w14:paraId="483A71CB" w14:textId="77777777" w:rsidR="004D5CE1" w:rsidRPr="00EC3AAB" w:rsidRDefault="004D5CE1" w:rsidP="004D5CE1">
      <w:pPr>
        <w:spacing w:line="240" w:lineRule="auto"/>
        <w:jc w:val="both"/>
        <w:rPr>
          <w:rFonts w:asciiTheme="majorBidi" w:hAnsiTheme="majorBidi" w:cstheme="majorBidi"/>
          <w:sz w:val="22"/>
          <w:szCs w:val="20"/>
        </w:rPr>
      </w:pPr>
      <w:r w:rsidRPr="00EC3AAB">
        <w:rPr>
          <w:rFonts w:asciiTheme="majorBidi" w:hAnsiTheme="majorBidi" w:cstheme="majorBidi"/>
          <w:sz w:val="22"/>
          <w:szCs w:val="20"/>
        </w:rPr>
        <w:t>17.</w:t>
      </w:r>
      <w:r w:rsidRPr="00EC3AAB">
        <w:rPr>
          <w:rFonts w:asciiTheme="majorBidi" w:hAnsiTheme="majorBidi" w:cstheme="majorBidi"/>
          <w:sz w:val="22"/>
          <w:szCs w:val="20"/>
        </w:rPr>
        <w:tab/>
        <w:t xml:space="preserve">Janner H, </w:t>
      </w:r>
      <w:proofErr w:type="spellStart"/>
      <w:r w:rsidRPr="00EC3AAB">
        <w:rPr>
          <w:rFonts w:asciiTheme="majorBidi" w:hAnsiTheme="majorBidi" w:cstheme="majorBidi"/>
          <w:sz w:val="22"/>
          <w:szCs w:val="20"/>
        </w:rPr>
        <w:t>Klausenitz</w:t>
      </w:r>
      <w:proofErr w:type="spellEnd"/>
      <w:r w:rsidRPr="00EC3AAB">
        <w:rPr>
          <w:rFonts w:asciiTheme="majorBidi" w:hAnsiTheme="majorBidi" w:cstheme="majorBidi"/>
          <w:sz w:val="22"/>
          <w:szCs w:val="20"/>
        </w:rPr>
        <w:t xml:space="preserve"> C, Gürtler N, </w:t>
      </w:r>
      <w:proofErr w:type="spellStart"/>
      <w:r w:rsidRPr="00EC3AAB">
        <w:rPr>
          <w:rFonts w:asciiTheme="majorBidi" w:hAnsiTheme="majorBidi" w:cstheme="majorBidi"/>
          <w:sz w:val="22"/>
          <w:szCs w:val="20"/>
        </w:rPr>
        <w:t>Hahnenkamp</w:t>
      </w:r>
      <w:proofErr w:type="spellEnd"/>
      <w:r w:rsidRPr="00EC3AAB">
        <w:rPr>
          <w:rFonts w:asciiTheme="majorBidi" w:hAnsiTheme="majorBidi" w:cstheme="majorBidi"/>
          <w:sz w:val="22"/>
          <w:szCs w:val="20"/>
        </w:rPr>
        <w:t xml:space="preserve"> K, </w:t>
      </w:r>
      <w:proofErr w:type="spellStart"/>
      <w:r w:rsidRPr="00EC3AAB">
        <w:rPr>
          <w:rFonts w:asciiTheme="majorBidi" w:hAnsiTheme="majorBidi" w:cstheme="majorBidi"/>
          <w:sz w:val="22"/>
          <w:szCs w:val="20"/>
        </w:rPr>
        <w:t>Usichenko</w:t>
      </w:r>
      <w:proofErr w:type="spellEnd"/>
      <w:r w:rsidRPr="00EC3AAB">
        <w:rPr>
          <w:rFonts w:asciiTheme="majorBidi" w:hAnsiTheme="majorBidi" w:cstheme="majorBidi"/>
          <w:sz w:val="22"/>
          <w:szCs w:val="20"/>
        </w:rPr>
        <w:t xml:space="preserve"> TI. Effects of electrical transcutaneous </w:t>
      </w:r>
      <w:proofErr w:type="spellStart"/>
      <w:r w:rsidRPr="00EC3AAB">
        <w:rPr>
          <w:rFonts w:asciiTheme="majorBidi" w:hAnsiTheme="majorBidi" w:cstheme="majorBidi"/>
          <w:sz w:val="22"/>
          <w:szCs w:val="20"/>
        </w:rPr>
        <w:t>vagus</w:t>
      </w:r>
      <w:proofErr w:type="spellEnd"/>
      <w:r w:rsidRPr="00EC3AAB">
        <w:rPr>
          <w:rFonts w:asciiTheme="majorBidi" w:hAnsiTheme="majorBidi" w:cstheme="majorBidi"/>
          <w:sz w:val="22"/>
          <w:szCs w:val="20"/>
        </w:rPr>
        <w:t xml:space="preserve"> nerve stimulation on the perceived intensity of repetitive painful heat stimuli: a blinded placebo-and sham-controlled randomized crossover investigation. Anesthesia &amp; Analgesia. 2018;126(6):2085-92.</w:t>
      </w:r>
    </w:p>
    <w:p w14:paraId="72F1DEF6" w14:textId="052C4421" w:rsidR="006C5B9B" w:rsidRDefault="004D5CE1" w:rsidP="004D5CE1">
      <w:r w:rsidRPr="00EC3AAB">
        <w:rPr>
          <w:rFonts w:asciiTheme="majorBidi" w:hAnsiTheme="majorBidi" w:cstheme="majorBidi"/>
          <w:sz w:val="22"/>
          <w:szCs w:val="20"/>
        </w:rPr>
        <w:fldChar w:fldCharType="end"/>
      </w:r>
    </w:p>
    <w:sectPr w:rsidR="006C5B9B" w:rsidSect="00034616">
      <w:headerReference w:type="default" r:id="rId14"/>
      <w:footerReference w:type="default" r:id="rId15"/>
      <w:pgSz w:w="11909" w:h="16834"/>
      <w:pgMar w:top="202" w:right="605" w:bottom="230" w:left="605" w:header="72" w:footer="1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4C130" w14:textId="77777777" w:rsidR="00C86B80" w:rsidRDefault="00C86B80" w:rsidP="001F6569">
      <w:pPr>
        <w:spacing w:line="240" w:lineRule="auto"/>
      </w:pPr>
      <w:r>
        <w:separator/>
      </w:r>
    </w:p>
  </w:endnote>
  <w:endnote w:type="continuationSeparator" w:id="0">
    <w:p w14:paraId="009DA656" w14:textId="77777777" w:rsidR="00C86B80" w:rsidRDefault="00C86B80" w:rsidP="001F65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iberation Sans Narrow">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iberation San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4A0" w:firstRow="1" w:lastRow="0" w:firstColumn="1" w:lastColumn="0" w:noHBand="0" w:noVBand="1"/>
    </w:tblPr>
    <w:tblGrid>
      <w:gridCol w:w="547"/>
      <w:gridCol w:w="9169"/>
    </w:tblGrid>
    <w:tr w:rsidR="00B1584D" w14:paraId="032179C2" w14:textId="77777777" w:rsidTr="00B1584D">
      <w:trPr>
        <w:jc w:val="center"/>
      </w:trPr>
      <w:tc>
        <w:tcPr>
          <w:tcW w:w="547" w:type="dxa"/>
          <w:tcBorders>
            <w:top w:val="nil"/>
            <w:left w:val="nil"/>
            <w:bottom w:val="nil"/>
            <w:right w:val="nil"/>
          </w:tcBorders>
          <w:tcMar>
            <w:top w:w="0" w:type="dxa"/>
            <w:left w:w="0" w:type="dxa"/>
            <w:bottom w:w="0" w:type="dxa"/>
            <w:right w:w="0" w:type="dxa"/>
          </w:tcMar>
        </w:tcPr>
        <w:p w14:paraId="361CF2CF" w14:textId="0CB18DDF" w:rsidR="00B1584D" w:rsidRDefault="001D100F" w:rsidP="00B1584D">
          <w:pPr>
            <w:spacing w:line="240" w:lineRule="auto"/>
            <w:jc w:val="center"/>
          </w:pPr>
          <w:r>
            <w:rPr>
              <w:noProof/>
            </w:rPr>
            <w:drawing>
              <wp:inline distT="0" distB="0" distL="0" distR="0" wp14:anchorId="129C4BF4" wp14:editId="111A7C00">
                <wp:extent cx="145807" cy="228600"/>
                <wp:effectExtent l="0" t="0" r="6985" b="0"/>
                <wp:docPr id="1345685111" name="Picture 2" descr="Open Access logo white blue - Free vector icons on creazill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n Access logo white blue - Free vector icons on creazilla.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807" cy="228600"/>
                        </a:xfrm>
                        <a:prstGeom prst="rect">
                          <a:avLst/>
                        </a:prstGeom>
                        <a:noFill/>
                        <a:ln>
                          <a:noFill/>
                        </a:ln>
                      </pic:spPr>
                    </pic:pic>
                  </a:graphicData>
                </a:graphic>
              </wp:inline>
            </w:drawing>
          </w:r>
        </w:p>
      </w:tc>
      <w:tc>
        <w:tcPr>
          <w:tcW w:w="9169" w:type="dxa"/>
          <w:tcBorders>
            <w:top w:val="nil"/>
            <w:left w:val="nil"/>
            <w:bottom w:val="nil"/>
            <w:right w:val="nil"/>
          </w:tcBorders>
          <w:tcMar>
            <w:top w:w="0" w:type="dxa"/>
            <w:left w:w="0" w:type="dxa"/>
            <w:bottom w:w="0" w:type="dxa"/>
            <w:right w:w="0" w:type="dxa"/>
          </w:tcMar>
        </w:tcPr>
        <w:p w14:paraId="3B31CEBC" w14:textId="77777777" w:rsidR="00CF1D6C" w:rsidRPr="00F65C82" w:rsidRDefault="00CF1D6C" w:rsidP="00CF1D6C">
          <w:pPr>
            <w:spacing w:line="240" w:lineRule="auto"/>
            <w:rPr>
              <w:rFonts w:ascii="Georgia" w:eastAsia="Georgia" w:hAnsi="Georgia"/>
              <w:color w:val="006A39"/>
              <w:sz w:val="10"/>
              <w:szCs w:val="18"/>
            </w:rPr>
          </w:pPr>
        </w:p>
        <w:p w14:paraId="6590A0E8" w14:textId="0688F947" w:rsidR="00B1584D" w:rsidRDefault="00B1584D" w:rsidP="00B1584D">
          <w:pPr>
            <w:spacing w:line="240" w:lineRule="auto"/>
          </w:pPr>
          <w:r>
            <w:rPr>
              <w:rFonts w:ascii="Georgia" w:eastAsia="Georgia" w:hAnsi="Georgia"/>
              <w:color w:val="006A39"/>
              <w:sz w:val="14"/>
            </w:rPr>
            <w:t>© 202</w:t>
          </w:r>
          <w:r w:rsidR="006D3446">
            <w:rPr>
              <w:rFonts w:ascii="Georgia" w:eastAsia="Georgia" w:hAnsi="Georgia"/>
              <w:color w:val="006A39"/>
              <w:sz w:val="14"/>
            </w:rPr>
            <w:t>6</w:t>
          </w:r>
          <w:r>
            <w:rPr>
              <w:rFonts w:ascii="Georgia" w:eastAsia="Georgia" w:hAnsi="Georgia"/>
              <w:color w:val="006A39"/>
              <w:sz w:val="14"/>
            </w:rPr>
            <w:t xml:space="preserve"> et al.  Open access under CC BY License (Creative Commons). Freely distributable with appropriate citation. Health and Research Insights</w:t>
          </w:r>
        </w:p>
      </w:tc>
    </w:tr>
  </w:tbl>
  <w:sdt>
    <w:sdtPr>
      <w:id w:val="-1347176780"/>
      <w:docPartObj>
        <w:docPartGallery w:val="Page Numbers (Bottom of Page)"/>
        <w:docPartUnique/>
      </w:docPartObj>
    </w:sdtPr>
    <w:sdtEndPr>
      <w:rPr>
        <w:noProof/>
        <w:sz w:val="15"/>
        <w:szCs w:val="18"/>
      </w:rPr>
    </w:sdtEndPr>
    <w:sdtContent>
      <w:p w14:paraId="5B965A03" w14:textId="4B03C20F" w:rsidR="001F6569" w:rsidRPr="00A548A4" w:rsidRDefault="00B1584D" w:rsidP="00B1584D">
        <w:pPr>
          <w:pStyle w:val="Footer"/>
          <w:jc w:val="right"/>
          <w:rPr>
            <w:sz w:val="15"/>
            <w:szCs w:val="18"/>
          </w:rPr>
        </w:pPr>
        <w:r w:rsidRPr="00A548A4">
          <w:rPr>
            <w:sz w:val="15"/>
            <w:szCs w:val="18"/>
          </w:rPr>
          <w:fldChar w:fldCharType="begin"/>
        </w:r>
        <w:r w:rsidRPr="00A548A4">
          <w:rPr>
            <w:sz w:val="15"/>
            <w:szCs w:val="18"/>
          </w:rPr>
          <w:instrText xml:space="preserve"> PAGE   \* MERGEFORMAT </w:instrText>
        </w:r>
        <w:r w:rsidRPr="00A548A4">
          <w:rPr>
            <w:sz w:val="15"/>
            <w:szCs w:val="18"/>
          </w:rPr>
          <w:fldChar w:fldCharType="separate"/>
        </w:r>
        <w:r w:rsidRPr="00A548A4">
          <w:rPr>
            <w:noProof/>
            <w:sz w:val="15"/>
            <w:szCs w:val="18"/>
          </w:rPr>
          <w:t>2</w:t>
        </w:r>
        <w:r w:rsidRPr="00A548A4">
          <w:rPr>
            <w:noProof/>
            <w:sz w:val="15"/>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41DA6" w14:textId="77777777" w:rsidR="00C86B80" w:rsidRDefault="00C86B80" w:rsidP="001F6569">
      <w:pPr>
        <w:spacing w:line="240" w:lineRule="auto"/>
      </w:pPr>
      <w:r>
        <w:separator/>
      </w:r>
    </w:p>
  </w:footnote>
  <w:footnote w:type="continuationSeparator" w:id="0">
    <w:p w14:paraId="4B768274" w14:textId="77777777" w:rsidR="00C86B80" w:rsidRDefault="00C86B80" w:rsidP="001F65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2EF7" w14:textId="77777777" w:rsidR="008A1960" w:rsidRDefault="008A1960">
    <w:pPr>
      <w:pStyle w:val="Header"/>
    </w:pPr>
  </w:p>
  <w:tbl>
    <w:tblPr>
      <w:tblW w:w="0" w:type="auto"/>
      <w:jc w:val="center"/>
      <w:tblLayout w:type="fixed"/>
      <w:tblLook w:val="04A0" w:firstRow="1" w:lastRow="0" w:firstColumn="1" w:lastColumn="0" w:noHBand="0" w:noVBand="1"/>
    </w:tblPr>
    <w:tblGrid>
      <w:gridCol w:w="4680"/>
      <w:gridCol w:w="172"/>
      <w:gridCol w:w="2088"/>
      <w:gridCol w:w="3758"/>
    </w:tblGrid>
    <w:tr w:rsidR="008A1960" w14:paraId="53B78FB7" w14:textId="77777777" w:rsidTr="00D9092C">
      <w:trPr>
        <w:trHeight w:hRule="exact" w:val="110"/>
        <w:jc w:val="center"/>
      </w:trPr>
      <w:tc>
        <w:tcPr>
          <w:tcW w:w="4680" w:type="dxa"/>
          <w:tcBorders>
            <w:top w:val="nil"/>
            <w:left w:val="nil"/>
            <w:bottom w:val="nil"/>
            <w:right w:val="nil"/>
          </w:tcBorders>
          <w:shd w:val="clear" w:color="auto" w:fill="257DD5"/>
          <w:tcMar>
            <w:top w:w="0" w:type="dxa"/>
            <w:left w:w="0" w:type="dxa"/>
            <w:bottom w:w="0" w:type="dxa"/>
            <w:right w:w="0" w:type="dxa"/>
          </w:tcMar>
        </w:tcPr>
        <w:p w14:paraId="0F8CEDB1" w14:textId="77777777" w:rsidR="008A1960" w:rsidRDefault="008A1960" w:rsidP="008A1960"/>
      </w:tc>
      <w:tc>
        <w:tcPr>
          <w:tcW w:w="172" w:type="dxa"/>
          <w:tcBorders>
            <w:top w:val="nil"/>
            <w:left w:val="nil"/>
            <w:bottom w:val="nil"/>
            <w:right w:val="nil"/>
          </w:tcBorders>
          <w:shd w:val="clear" w:color="auto" w:fill="FFFFFF"/>
          <w:tcMar>
            <w:top w:w="0" w:type="dxa"/>
            <w:left w:w="0" w:type="dxa"/>
            <w:bottom w:w="0" w:type="dxa"/>
            <w:right w:w="0" w:type="dxa"/>
          </w:tcMar>
        </w:tcPr>
        <w:p w14:paraId="2C87546D" w14:textId="77777777" w:rsidR="008A1960" w:rsidRDefault="008A1960" w:rsidP="008A1960"/>
      </w:tc>
      <w:tc>
        <w:tcPr>
          <w:tcW w:w="5846" w:type="dxa"/>
          <w:gridSpan w:val="2"/>
          <w:tcBorders>
            <w:top w:val="nil"/>
            <w:left w:val="nil"/>
            <w:bottom w:val="nil"/>
            <w:right w:val="nil"/>
          </w:tcBorders>
          <w:shd w:val="clear" w:color="auto" w:fill="006A39"/>
          <w:tcMar>
            <w:top w:w="0" w:type="dxa"/>
            <w:left w:w="0" w:type="dxa"/>
            <w:bottom w:w="0" w:type="dxa"/>
            <w:right w:w="0" w:type="dxa"/>
          </w:tcMar>
        </w:tcPr>
        <w:p w14:paraId="5EBEAB1E" w14:textId="77777777" w:rsidR="008A1960" w:rsidRDefault="008A1960" w:rsidP="008A1960"/>
      </w:tc>
    </w:tr>
    <w:tr w:rsidR="008A1960" w14:paraId="541CD866" w14:textId="77777777" w:rsidTr="00D9092C">
      <w:trPr>
        <w:jc w:val="center"/>
      </w:trPr>
      <w:tc>
        <w:tcPr>
          <w:tcW w:w="6940" w:type="dxa"/>
          <w:gridSpan w:val="3"/>
          <w:tcBorders>
            <w:right w:val="single" w:sz="10" w:space="0" w:color="777777"/>
          </w:tcBorders>
          <w:tcMar>
            <w:top w:w="120" w:type="dxa"/>
            <w:left w:w="0" w:type="dxa"/>
            <w:bottom w:w="55" w:type="dxa"/>
            <w:right w:w="135" w:type="dxa"/>
          </w:tcMar>
          <w:vAlign w:val="center"/>
        </w:tcPr>
        <w:p w14:paraId="441135F3" w14:textId="77777777" w:rsidR="008A1960" w:rsidRDefault="008A1960" w:rsidP="008A1960">
          <w:pPr>
            <w:spacing w:line="24" w:lineRule="auto"/>
          </w:pPr>
        </w:p>
        <w:tbl>
          <w:tblPr>
            <w:tblW w:w="0" w:type="auto"/>
            <w:tblLayout w:type="fixed"/>
            <w:tblLook w:val="04A0" w:firstRow="1" w:lastRow="0" w:firstColumn="1" w:lastColumn="0" w:noHBand="0" w:noVBand="1"/>
          </w:tblPr>
          <w:tblGrid>
            <w:gridCol w:w="1800"/>
            <w:gridCol w:w="4968"/>
          </w:tblGrid>
          <w:tr w:rsidR="008A1960" w14:paraId="152B5B01" w14:textId="77777777" w:rsidTr="00D9092C">
            <w:tc>
              <w:tcPr>
                <w:tcW w:w="1800" w:type="dxa"/>
                <w:tcBorders>
                  <w:top w:val="nil"/>
                  <w:left w:val="nil"/>
                  <w:bottom w:val="nil"/>
                  <w:right w:val="nil"/>
                </w:tcBorders>
                <w:tcMar>
                  <w:top w:w="0" w:type="dxa"/>
                  <w:left w:w="0" w:type="dxa"/>
                  <w:bottom w:w="0" w:type="dxa"/>
                  <w:right w:w="0" w:type="dxa"/>
                </w:tcMar>
              </w:tcPr>
              <w:p w14:paraId="634F7647" w14:textId="77777777" w:rsidR="008A1960" w:rsidRDefault="008A1960" w:rsidP="008A1960">
                <w:pPr>
                  <w:spacing w:line="240" w:lineRule="auto"/>
                  <w:jc w:val="center"/>
                </w:pPr>
                <w:r>
                  <w:rPr>
                    <w:noProof/>
                  </w:rPr>
                  <w:drawing>
                    <wp:inline distT="0" distB="0" distL="0" distR="0" wp14:anchorId="71A6938C" wp14:editId="1E77618A">
                      <wp:extent cx="636104" cy="690406"/>
                      <wp:effectExtent l="0" t="0" r="0" b="0"/>
                      <wp:docPr id="172542678" name="Picture 172542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hr_logo_mark.png"/>
                              <pic:cNvPicPr/>
                            </pic:nvPicPr>
                            <pic:blipFill>
                              <a:blip r:embed="rId1"/>
                              <a:stretch>
                                <a:fillRect/>
                              </a:stretch>
                            </pic:blipFill>
                            <pic:spPr>
                              <a:xfrm>
                                <a:off x="0" y="0"/>
                                <a:ext cx="636104" cy="690406"/>
                              </a:xfrm>
                              <a:prstGeom prst="rect">
                                <a:avLst/>
                              </a:prstGeom>
                            </pic:spPr>
                          </pic:pic>
                        </a:graphicData>
                      </a:graphic>
                    </wp:inline>
                  </w:drawing>
                </w:r>
              </w:p>
            </w:tc>
            <w:tc>
              <w:tcPr>
                <w:tcW w:w="4968" w:type="dxa"/>
                <w:tcBorders>
                  <w:top w:val="nil"/>
                  <w:left w:val="nil"/>
                  <w:bottom w:val="nil"/>
                  <w:right w:val="nil"/>
                </w:tcBorders>
                <w:tcMar>
                  <w:top w:w="50" w:type="dxa"/>
                  <w:left w:w="40" w:type="dxa"/>
                  <w:bottom w:w="0" w:type="dxa"/>
                  <w:right w:w="0" w:type="dxa"/>
                </w:tcMar>
              </w:tcPr>
              <w:p w14:paraId="7A797B2C" w14:textId="77777777" w:rsidR="008A1960" w:rsidRDefault="008A1960" w:rsidP="008A1960">
                <w:pPr>
                  <w:spacing w:line="216" w:lineRule="auto"/>
                </w:pPr>
                <w:r>
                  <w:rPr>
                    <w:rFonts w:ascii="Liberation Sans Narrow" w:eastAsia="Liberation Sans Narrow" w:hAnsi="Liberation Sans Narrow"/>
                    <w:b/>
                    <w:color w:val="006A39"/>
                    <w:sz w:val="51"/>
                  </w:rPr>
                  <w:t>INSIGHTS-IJHR</w:t>
                </w:r>
              </w:p>
              <w:p w14:paraId="21775114" w14:textId="77777777" w:rsidR="008A1960" w:rsidRDefault="008A1960" w:rsidP="008A1960">
                <w:pPr>
                  <w:spacing w:line="228" w:lineRule="auto"/>
                </w:pPr>
                <w:r>
                  <w:rPr>
                    <w:rFonts w:ascii="Liberation Sans" w:eastAsia="Liberation Sans" w:hAnsi="Liberation Sans"/>
                    <w:color w:val="111111"/>
                    <w:sz w:val="25"/>
                  </w:rPr>
                  <w:t>INSIGHTS-JOURNAL OF</w:t>
                </w:r>
              </w:p>
              <w:p w14:paraId="796E3D1C" w14:textId="77777777" w:rsidR="008A1960" w:rsidRDefault="008A1960" w:rsidP="008A1960">
                <w:pPr>
                  <w:spacing w:line="228" w:lineRule="auto"/>
                </w:pPr>
                <w:r>
                  <w:rPr>
                    <w:rFonts w:ascii="Liberation Sans" w:eastAsia="Liberation Sans" w:hAnsi="Liberation Sans"/>
                    <w:color w:val="111111"/>
                    <w:sz w:val="25"/>
                  </w:rPr>
                  <w:t>HEALTH AND REHABILITATION</w:t>
                </w:r>
              </w:p>
            </w:tc>
          </w:tr>
        </w:tbl>
        <w:p w14:paraId="3B4EE458" w14:textId="77777777" w:rsidR="008A1960" w:rsidRDefault="008A1960" w:rsidP="008A1960"/>
      </w:tc>
      <w:tc>
        <w:tcPr>
          <w:tcW w:w="3758" w:type="dxa"/>
          <w:tcBorders>
            <w:top w:val="nil"/>
            <w:left w:val="nil"/>
            <w:bottom w:val="nil"/>
            <w:right w:val="nil"/>
          </w:tcBorders>
          <w:tcMar>
            <w:top w:w="160" w:type="dxa"/>
            <w:left w:w="180" w:type="dxa"/>
            <w:bottom w:w="60" w:type="dxa"/>
            <w:right w:w="0" w:type="dxa"/>
          </w:tcMar>
        </w:tcPr>
        <w:p w14:paraId="5C9AD989" w14:textId="77777777" w:rsidR="008A1960" w:rsidRDefault="008A1960" w:rsidP="008A1960">
          <w:pPr>
            <w:spacing w:line="24" w:lineRule="auto"/>
          </w:pPr>
        </w:p>
        <w:tbl>
          <w:tblPr>
            <w:tblW w:w="0" w:type="auto"/>
            <w:tblLayout w:type="fixed"/>
            <w:tblLook w:val="04A0" w:firstRow="1" w:lastRow="0" w:firstColumn="1" w:lastColumn="0" w:noHBand="0" w:noVBand="1"/>
          </w:tblPr>
          <w:tblGrid>
            <w:gridCol w:w="3758"/>
          </w:tblGrid>
          <w:tr w:rsidR="008A1960" w14:paraId="5BF1F3A2" w14:textId="77777777" w:rsidTr="00D9092C">
            <w:tc>
              <w:tcPr>
                <w:tcW w:w="3758" w:type="dxa"/>
                <w:tcBorders>
                  <w:top w:val="single" w:sz="2" w:space="0" w:color="257DD5"/>
                  <w:left w:val="single" w:sz="2" w:space="0" w:color="257DD5"/>
                  <w:bottom w:val="single" w:sz="2" w:space="0" w:color="257DD5"/>
                  <w:right w:val="single" w:sz="2" w:space="0" w:color="257DD5"/>
                </w:tcBorders>
                <w:shd w:val="clear" w:color="auto" w:fill="257DD5"/>
                <w:tcMar>
                  <w:top w:w="80" w:type="dxa"/>
                  <w:left w:w="80" w:type="dxa"/>
                  <w:bottom w:w="80" w:type="dxa"/>
                  <w:right w:w="80" w:type="dxa"/>
                </w:tcMar>
              </w:tcPr>
              <w:p w14:paraId="3B98473E" w14:textId="77777777" w:rsidR="008A1960" w:rsidRDefault="008A1960" w:rsidP="008A1960">
                <w:pPr>
                  <w:spacing w:line="240" w:lineRule="auto"/>
                  <w:jc w:val="center"/>
                </w:pPr>
                <w:proofErr w:type="gramStart"/>
                <w:r>
                  <w:rPr>
                    <w:b/>
                    <w:color w:val="FFFFFF"/>
                    <w:sz w:val="21"/>
                  </w:rPr>
                  <w:t>▣  ORIGINAL</w:t>
                </w:r>
                <w:proofErr w:type="gramEnd"/>
                <w:r>
                  <w:rPr>
                    <w:b/>
                    <w:color w:val="FFFFFF"/>
                    <w:sz w:val="21"/>
                  </w:rPr>
                  <w:t xml:space="preserve"> RESEARCH</w:t>
                </w:r>
              </w:p>
            </w:tc>
          </w:tr>
        </w:tbl>
        <w:p w14:paraId="6C1C6D15" w14:textId="77777777" w:rsidR="008A1960" w:rsidRDefault="008A1960" w:rsidP="008A1960"/>
        <w:p w14:paraId="1991B9AA" w14:textId="29C14A88" w:rsidR="008A1960" w:rsidRDefault="008A1960" w:rsidP="008A1960">
          <w:pPr>
            <w:spacing w:before="120" w:after="40" w:line="240" w:lineRule="auto"/>
            <w:jc w:val="center"/>
          </w:pPr>
          <w:r>
            <w:rPr>
              <w:rFonts w:ascii="Times New Roman" w:eastAsia="Times New Roman" w:hAnsi="Times New Roman"/>
              <w:color w:val="111111"/>
            </w:rPr>
            <w:t xml:space="preserve">Volume 4   |   Issue </w:t>
          </w:r>
          <w:r w:rsidR="009A3225">
            <w:rPr>
              <w:rFonts w:ascii="Times New Roman" w:eastAsia="Times New Roman" w:hAnsi="Times New Roman"/>
              <w:color w:val="111111"/>
            </w:rPr>
            <w:t>3</w:t>
          </w:r>
          <w:r>
            <w:rPr>
              <w:rFonts w:ascii="Times New Roman" w:eastAsia="Times New Roman" w:hAnsi="Times New Roman"/>
              <w:color w:val="111111"/>
            </w:rPr>
            <w:t xml:space="preserve">   |   202</w:t>
          </w:r>
          <w:r w:rsidR="00E7297F">
            <w:rPr>
              <w:rFonts w:ascii="Times New Roman" w:eastAsia="Times New Roman" w:hAnsi="Times New Roman"/>
              <w:color w:val="111111"/>
            </w:rPr>
            <w:t>6</w:t>
          </w:r>
        </w:p>
        <w:p w14:paraId="068C6C21" w14:textId="77777777" w:rsidR="008A1960" w:rsidRDefault="008A1960" w:rsidP="008A1960">
          <w:pPr>
            <w:spacing w:before="20" w:after="40" w:line="240" w:lineRule="auto"/>
            <w:jc w:val="center"/>
          </w:pPr>
          <w:r>
            <w:rPr>
              <w:rFonts w:ascii="Times New Roman" w:eastAsia="Times New Roman" w:hAnsi="Times New Roman"/>
              <w:color w:val="111111"/>
            </w:rPr>
            <w:t>ISSN: 3007-2948</w:t>
          </w:r>
        </w:p>
      </w:tc>
    </w:tr>
  </w:tbl>
  <w:p w14:paraId="5AE49DF7" w14:textId="77777777" w:rsidR="008A1960" w:rsidRDefault="008A1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37126286">
    <w:abstractNumId w:val="8"/>
  </w:num>
  <w:num w:numId="2" w16cid:durableId="52194859">
    <w:abstractNumId w:val="6"/>
  </w:num>
  <w:num w:numId="3" w16cid:durableId="702483030">
    <w:abstractNumId w:val="5"/>
  </w:num>
  <w:num w:numId="4" w16cid:durableId="816191920">
    <w:abstractNumId w:val="4"/>
  </w:num>
  <w:num w:numId="5" w16cid:durableId="704721682">
    <w:abstractNumId w:val="7"/>
  </w:num>
  <w:num w:numId="6" w16cid:durableId="1253318109">
    <w:abstractNumId w:val="3"/>
  </w:num>
  <w:num w:numId="7" w16cid:durableId="2042391418">
    <w:abstractNumId w:val="2"/>
  </w:num>
  <w:num w:numId="8" w16cid:durableId="1293830142">
    <w:abstractNumId w:val="1"/>
  </w:num>
  <w:num w:numId="9" w16cid:durableId="1698308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4B46"/>
    <w:rsid w:val="000F409F"/>
    <w:rsid w:val="00101FB6"/>
    <w:rsid w:val="0012453A"/>
    <w:rsid w:val="0015074B"/>
    <w:rsid w:val="001549E6"/>
    <w:rsid w:val="001B2041"/>
    <w:rsid w:val="001D100F"/>
    <w:rsid w:val="001E4452"/>
    <w:rsid w:val="001E78D5"/>
    <w:rsid w:val="001F6569"/>
    <w:rsid w:val="002232F4"/>
    <w:rsid w:val="0024752D"/>
    <w:rsid w:val="0029639D"/>
    <w:rsid w:val="002E45B2"/>
    <w:rsid w:val="0031045C"/>
    <w:rsid w:val="00321699"/>
    <w:rsid w:val="00326F90"/>
    <w:rsid w:val="003843FC"/>
    <w:rsid w:val="00485B96"/>
    <w:rsid w:val="004B30C9"/>
    <w:rsid w:val="004D5CE1"/>
    <w:rsid w:val="004F13A4"/>
    <w:rsid w:val="005141BF"/>
    <w:rsid w:val="00515A0B"/>
    <w:rsid w:val="00517E0C"/>
    <w:rsid w:val="00523E3C"/>
    <w:rsid w:val="005A629A"/>
    <w:rsid w:val="005B1722"/>
    <w:rsid w:val="00607850"/>
    <w:rsid w:val="00624B95"/>
    <w:rsid w:val="006C1FB9"/>
    <w:rsid w:val="006C5B9B"/>
    <w:rsid w:val="006D3446"/>
    <w:rsid w:val="00762510"/>
    <w:rsid w:val="0076261A"/>
    <w:rsid w:val="007C0BB9"/>
    <w:rsid w:val="0085036C"/>
    <w:rsid w:val="00860718"/>
    <w:rsid w:val="00864F83"/>
    <w:rsid w:val="008A1960"/>
    <w:rsid w:val="008E52D5"/>
    <w:rsid w:val="0094501F"/>
    <w:rsid w:val="00946182"/>
    <w:rsid w:val="00966747"/>
    <w:rsid w:val="009A3225"/>
    <w:rsid w:val="009A7029"/>
    <w:rsid w:val="00A52BDE"/>
    <w:rsid w:val="00A548A4"/>
    <w:rsid w:val="00A570BF"/>
    <w:rsid w:val="00A61498"/>
    <w:rsid w:val="00AA1D8D"/>
    <w:rsid w:val="00B04782"/>
    <w:rsid w:val="00B1584D"/>
    <w:rsid w:val="00B16FD3"/>
    <w:rsid w:val="00B47730"/>
    <w:rsid w:val="00B5741A"/>
    <w:rsid w:val="00BC7115"/>
    <w:rsid w:val="00BD4541"/>
    <w:rsid w:val="00BF54D9"/>
    <w:rsid w:val="00C20780"/>
    <w:rsid w:val="00C60675"/>
    <w:rsid w:val="00C633E0"/>
    <w:rsid w:val="00C86B80"/>
    <w:rsid w:val="00CB0664"/>
    <w:rsid w:val="00CF1D6C"/>
    <w:rsid w:val="00D52B19"/>
    <w:rsid w:val="00DA0DB3"/>
    <w:rsid w:val="00DB5B63"/>
    <w:rsid w:val="00DF03E0"/>
    <w:rsid w:val="00E37B63"/>
    <w:rsid w:val="00E7297F"/>
    <w:rsid w:val="00EE7B7C"/>
    <w:rsid w:val="00F077E5"/>
    <w:rsid w:val="00F65C82"/>
    <w:rsid w:val="00F867B5"/>
    <w:rsid w:val="00FC2214"/>
    <w:rsid w:val="00FC68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87E145"/>
  <w14:defaultImageDpi w14:val="300"/>
  <w15:docId w15:val="{1B2E317C-A30F-40D9-8885-84F0DA1C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6142</Words>
  <Characters>35013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Editable IJHR Article First Page</dc:title>
  <dc:subject>Recreated editable Word layout from supplied journal page image</dc:subject>
  <dc:creator>Health and Research Insights</dc:creator>
  <cp:keywords/>
  <dc:description>generated by python-docx</dc:description>
  <cp:lastModifiedBy>Hafiz Sheraz Arshad</cp:lastModifiedBy>
  <cp:revision>65</cp:revision>
  <cp:lastPrinted>2026-08-05T21:28:00Z</cp:lastPrinted>
  <dcterms:created xsi:type="dcterms:W3CDTF">2013-12-23T23:15:00Z</dcterms:created>
  <dcterms:modified xsi:type="dcterms:W3CDTF">2026-08-06T10:46:00Z</dcterms:modified>
  <cp:category/>
</cp:coreProperties>
</file>