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E941" w14:textId="77777777" w:rsidR="00946182" w:rsidRDefault="00946182">
      <w:pPr>
        <w:pBdr>
          <w:bottom w:val="single" w:sz="18" w:space="0" w:color="257DD5"/>
        </w:pBdr>
        <w:spacing w:after="80" w:line="24" w:lineRule="auto"/>
      </w:pPr>
    </w:p>
    <w:p w14:paraId="6BBB4F55" w14:textId="3BEB25B1" w:rsidR="00946182" w:rsidRDefault="004A53A2" w:rsidP="00F077E5">
      <w:pPr>
        <w:keepNext/>
        <w:keepLines/>
        <w:spacing w:before="60" w:after="140" w:line="230" w:lineRule="auto"/>
        <w:jc w:val="both"/>
      </w:pPr>
      <w:r w:rsidRPr="004A53A2">
        <w:rPr>
          <w:rFonts w:ascii="Liberation Sans Narrow" w:eastAsia="Liberation Sans Narrow" w:hAnsi="Liberation Sans Narrow"/>
          <w:b/>
          <w:color w:val="0B2D5A"/>
          <w:sz w:val="47"/>
        </w:rPr>
        <w:t>Psychometric Evaluation of the Urdu Version of the Glaucoma symptom scale: Assessing Its Reliability and Validity in Low-Literacy Populations</w:t>
      </w:r>
    </w:p>
    <w:p w14:paraId="0BDF5F3A" w14:textId="77777777" w:rsidR="00946182" w:rsidRDefault="00000000">
      <w:pPr>
        <w:spacing w:before="20" w:after="80" w:line="120" w:lineRule="auto"/>
      </w:pPr>
      <w:r>
        <w:rPr>
          <w:noProof/>
        </w:rPr>
        <w:drawing>
          <wp:inline distT="0" distB="0" distL="0" distR="0" wp14:anchorId="06836407" wp14:editId="79A1264C">
            <wp:extent cx="621792" cy="384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nt_line.png"/>
                    <pic:cNvPicPr/>
                  </pic:nvPicPr>
                  <pic:blipFill>
                    <a:blip r:embed="rId8"/>
                    <a:stretch>
                      <a:fillRect/>
                    </a:stretch>
                  </pic:blipFill>
                  <pic:spPr>
                    <a:xfrm>
                      <a:off x="0" y="0"/>
                      <a:ext cx="621792" cy="38404"/>
                    </a:xfrm>
                    <a:prstGeom prst="rect">
                      <a:avLst/>
                    </a:prstGeom>
                  </pic:spPr>
                </pic:pic>
              </a:graphicData>
            </a:graphic>
          </wp:inline>
        </w:drawing>
      </w:r>
    </w:p>
    <w:p w14:paraId="1354E48D" w14:textId="1EC36941" w:rsidR="00946182" w:rsidRDefault="004A53A2">
      <w:pPr>
        <w:keepNext/>
        <w:keepLines/>
        <w:spacing w:before="140" w:after="80" w:line="252" w:lineRule="auto"/>
      </w:pPr>
      <w:r w:rsidRPr="004A53A2">
        <w:rPr>
          <w:b/>
          <w:color w:val="111111"/>
        </w:rPr>
        <w:t>Iqra Akram</w:t>
      </w:r>
      <w:r w:rsidRPr="004A53A2">
        <w:rPr>
          <w:b/>
          <w:color w:val="111111"/>
          <w:vertAlign w:val="superscript"/>
        </w:rPr>
        <w:t>1</w:t>
      </w:r>
      <w:r w:rsidRPr="004A53A2">
        <w:rPr>
          <w:b/>
          <w:color w:val="111111"/>
        </w:rPr>
        <w:t>*</w:t>
      </w:r>
      <w:r>
        <w:rPr>
          <w:b/>
          <w:color w:val="111111"/>
        </w:rPr>
        <w:t xml:space="preserve">, </w:t>
      </w:r>
      <w:r w:rsidRPr="004A53A2">
        <w:rPr>
          <w:b/>
          <w:color w:val="111111"/>
        </w:rPr>
        <w:t>Taimoor Hassan</w:t>
      </w:r>
      <w:r w:rsidRPr="004A53A2">
        <w:rPr>
          <w:b/>
          <w:color w:val="111111"/>
          <w:vertAlign w:val="superscript"/>
        </w:rPr>
        <w:t>1</w:t>
      </w:r>
    </w:p>
    <w:p w14:paraId="3AD0BCB4" w14:textId="6A6B5B89" w:rsidR="00946182" w:rsidRDefault="00000000">
      <w:pPr>
        <w:keepNext/>
        <w:keepLines/>
        <w:spacing w:before="14" w:after="14" w:line="252" w:lineRule="auto"/>
      </w:pPr>
      <w:r>
        <w:rPr>
          <w:color w:val="111111"/>
          <w:sz w:val="13"/>
          <w:vertAlign w:val="superscript"/>
        </w:rPr>
        <w:t>1</w:t>
      </w:r>
      <w:r w:rsidR="004A53A2" w:rsidRPr="004A53A2">
        <w:rPr>
          <w:color w:val="111111"/>
          <w:sz w:val="16"/>
        </w:rPr>
        <w:t>Department of Rehabilitation Sciences, Faculty of Allied Health Sciences, The Superior University, Lahore, Pakistan</w:t>
      </w:r>
    </w:p>
    <w:p w14:paraId="602D053C" w14:textId="4DF27B27" w:rsidR="00946182" w:rsidRDefault="00946182">
      <w:pPr>
        <w:keepNext/>
        <w:keepLines/>
        <w:spacing w:before="14" w:after="14" w:line="252" w:lineRule="auto"/>
      </w:pPr>
    </w:p>
    <w:tbl>
      <w:tblPr>
        <w:tblW w:w="0" w:type="auto"/>
        <w:tblLayout w:type="fixed"/>
        <w:tblLook w:val="04A0" w:firstRow="1" w:lastRow="0" w:firstColumn="1" w:lastColumn="0" w:noHBand="0" w:noVBand="1"/>
      </w:tblPr>
      <w:tblGrid>
        <w:gridCol w:w="604"/>
        <w:gridCol w:w="2880"/>
        <w:gridCol w:w="3484"/>
        <w:gridCol w:w="3484"/>
        <w:gridCol w:w="350"/>
      </w:tblGrid>
      <w:tr w:rsidR="00946182" w14:paraId="6242EBC2" w14:textId="77777777" w:rsidTr="005141BF">
        <w:tc>
          <w:tcPr>
            <w:tcW w:w="604" w:type="dxa"/>
            <w:tcBorders>
              <w:top w:val="nil"/>
              <w:left w:val="nil"/>
              <w:bottom w:val="nil"/>
              <w:right w:val="nil"/>
            </w:tcBorders>
            <w:tcMar>
              <w:top w:w="115" w:type="dxa"/>
              <w:left w:w="0" w:type="dxa"/>
              <w:bottom w:w="70" w:type="dxa"/>
              <w:right w:w="35" w:type="dxa"/>
            </w:tcMar>
          </w:tcPr>
          <w:p w14:paraId="3A2EAD6F" w14:textId="77777777" w:rsidR="00946182" w:rsidRDefault="00000000">
            <w:pPr>
              <w:spacing w:line="240" w:lineRule="auto"/>
              <w:jc w:val="center"/>
            </w:pPr>
            <w:r>
              <w:rPr>
                <w:noProof/>
              </w:rPr>
              <w:drawing>
                <wp:inline distT="0" distB="0" distL="0" distR="0" wp14:anchorId="364735EF" wp14:editId="64ECE345">
                  <wp:extent cx="310896" cy="3108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png"/>
                          <pic:cNvPicPr/>
                        </pic:nvPicPr>
                        <pic:blipFill>
                          <a:blip r:embed="rId9"/>
                          <a:stretch>
                            <a:fillRect/>
                          </a:stretch>
                        </pic:blipFill>
                        <pic:spPr>
                          <a:xfrm>
                            <a:off x="0" y="0"/>
                            <a:ext cx="310896" cy="310896"/>
                          </a:xfrm>
                          <a:prstGeom prst="rect">
                            <a:avLst/>
                          </a:prstGeom>
                        </pic:spPr>
                      </pic:pic>
                    </a:graphicData>
                  </a:graphic>
                </wp:inline>
              </w:drawing>
            </w:r>
          </w:p>
        </w:tc>
        <w:tc>
          <w:tcPr>
            <w:tcW w:w="10108" w:type="dxa"/>
            <w:gridSpan w:val="4"/>
            <w:tcBorders>
              <w:top w:val="nil"/>
              <w:left w:val="nil"/>
              <w:bottom w:val="nil"/>
              <w:right w:val="nil"/>
            </w:tcBorders>
            <w:tcMar>
              <w:top w:w="115" w:type="dxa"/>
              <w:left w:w="0" w:type="dxa"/>
              <w:bottom w:w="70" w:type="dxa"/>
              <w:right w:w="0" w:type="dxa"/>
            </w:tcMar>
          </w:tcPr>
          <w:p w14:paraId="2BC03E9D" w14:textId="1FD5102C" w:rsidR="00946182" w:rsidRDefault="00000000" w:rsidP="009E2C59">
            <w:pPr>
              <w:spacing w:line="235" w:lineRule="auto"/>
            </w:pPr>
            <w:r>
              <w:rPr>
                <w:b/>
                <w:color w:val="006A39"/>
                <w:sz w:val="17"/>
              </w:rPr>
              <w:t xml:space="preserve">*Corresponding Author:  </w:t>
            </w:r>
            <w:r w:rsidR="009E2C59" w:rsidRPr="009E2C59">
              <w:rPr>
                <w:color w:val="111111"/>
                <w:sz w:val="16"/>
              </w:rPr>
              <w:t>Iqra Akram</w:t>
            </w:r>
            <w:r w:rsidR="009E2C59">
              <w:rPr>
                <w:color w:val="111111"/>
                <w:sz w:val="16"/>
              </w:rPr>
              <w:t xml:space="preserve">, </w:t>
            </w:r>
            <w:r w:rsidR="009E2C59" w:rsidRPr="009E2C59">
              <w:rPr>
                <w:color w:val="111111"/>
                <w:sz w:val="16"/>
              </w:rPr>
              <w:t>Department of Rehabilitation Sciences, Faculty of Allied Health Sciences, The Superior University, Lahore, Pakistan</w:t>
            </w:r>
          </w:p>
          <w:p w14:paraId="092EC4DC" w14:textId="51F42CB3" w:rsidR="00946182" w:rsidRDefault="00946182">
            <w:pPr>
              <w:spacing w:line="235" w:lineRule="auto"/>
            </w:pPr>
          </w:p>
        </w:tc>
      </w:tr>
      <w:tr w:rsidR="00946182" w14:paraId="75D92EA5" w14:textId="77777777" w:rsidTr="005141BF">
        <w:trPr>
          <w:gridAfter w:val="1"/>
          <w:wAfter w:w="350" w:type="dxa"/>
        </w:trPr>
        <w:tc>
          <w:tcPr>
            <w:tcW w:w="3484" w:type="dxa"/>
            <w:gridSpan w:val="2"/>
            <w:tcBorders>
              <w:top w:val="single" w:sz="8" w:space="0" w:color="D5DEE8"/>
              <w:left w:val="single" w:sz="8" w:space="0" w:color="D5DEE8"/>
              <w:bottom w:val="single" w:sz="8" w:space="0" w:color="D5DEE8"/>
              <w:right w:val="single" w:sz="8" w:space="0" w:color="D5DEE8"/>
            </w:tcBorders>
            <w:shd w:val="clear" w:color="auto" w:fill="FAFCFE"/>
            <w:tcMar>
              <w:top w:w="135" w:type="dxa"/>
              <w:left w:w="90" w:type="dxa"/>
              <w:bottom w:w="135" w:type="dxa"/>
              <w:right w:w="90" w:type="dxa"/>
            </w:tcMar>
          </w:tcPr>
          <w:p w14:paraId="3C5B6863" w14:textId="77777777" w:rsidR="00946182" w:rsidRDefault="00946182">
            <w:pPr>
              <w:spacing w:line="24" w:lineRule="auto"/>
            </w:pPr>
          </w:p>
          <w:tbl>
            <w:tblPr>
              <w:tblW w:w="0" w:type="auto"/>
              <w:tblLayout w:type="fixed"/>
              <w:tblLook w:val="04A0" w:firstRow="1" w:lastRow="0" w:firstColumn="1" w:lastColumn="0" w:noHBand="0" w:noVBand="1"/>
            </w:tblPr>
            <w:tblGrid>
              <w:gridCol w:w="691"/>
              <w:gridCol w:w="2476"/>
            </w:tblGrid>
            <w:tr w:rsidR="00946182" w14:paraId="5890CDFF" w14:textId="77777777">
              <w:tc>
                <w:tcPr>
                  <w:tcW w:w="691" w:type="dxa"/>
                  <w:tcBorders>
                    <w:top w:val="nil"/>
                    <w:left w:val="nil"/>
                    <w:bottom w:val="nil"/>
                    <w:right w:val="nil"/>
                  </w:tcBorders>
                  <w:tcMar>
                    <w:top w:w="0" w:type="dxa"/>
                    <w:left w:w="0" w:type="dxa"/>
                    <w:bottom w:w="0" w:type="dxa"/>
                    <w:right w:w="30" w:type="dxa"/>
                  </w:tcMar>
                </w:tcPr>
                <w:p w14:paraId="19C081EC" w14:textId="77777777" w:rsidR="00946182" w:rsidRDefault="00000000">
                  <w:r>
                    <w:rPr>
                      <w:noProof/>
                    </w:rPr>
                    <w:drawing>
                      <wp:inline distT="0" distB="0" distL="0" distR="0" wp14:anchorId="6ED7B8E9" wp14:editId="64DDC398">
                        <wp:extent cx="347472" cy="3474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png"/>
                                <pic:cNvPicPr/>
                              </pic:nvPicPr>
                              <pic:blipFill>
                                <a:blip r:embed="rId10"/>
                                <a:stretch>
                                  <a:fillRect/>
                                </a:stretch>
                              </pic:blipFill>
                              <pic:spPr>
                                <a:xfrm>
                                  <a:off x="0" y="0"/>
                                  <a:ext cx="347472" cy="347472"/>
                                </a:xfrm>
                                <a:prstGeom prst="rect">
                                  <a:avLst/>
                                </a:prstGeom>
                              </pic:spPr>
                            </pic:pic>
                          </a:graphicData>
                        </a:graphic>
                      </wp:inline>
                    </w:drawing>
                  </w:r>
                </w:p>
              </w:tc>
              <w:tc>
                <w:tcPr>
                  <w:tcW w:w="2476" w:type="dxa"/>
                  <w:tcBorders>
                    <w:top w:val="nil"/>
                    <w:left w:val="nil"/>
                    <w:bottom w:val="nil"/>
                    <w:right w:val="nil"/>
                  </w:tcBorders>
                  <w:tcMar>
                    <w:top w:w="0" w:type="dxa"/>
                    <w:left w:w="0" w:type="dxa"/>
                    <w:bottom w:w="0" w:type="dxa"/>
                    <w:right w:w="0" w:type="dxa"/>
                  </w:tcMar>
                </w:tcPr>
                <w:p w14:paraId="0944FA0D" w14:textId="77777777" w:rsidR="00946182" w:rsidRDefault="00000000">
                  <w:pPr>
                    <w:spacing w:after="40" w:line="228" w:lineRule="auto"/>
                  </w:pPr>
                  <w:r>
                    <w:rPr>
                      <w:b/>
                      <w:color w:val="257DD5"/>
                      <w:sz w:val="16"/>
                    </w:rPr>
                    <w:t>CONFLICT OF INTEREST</w:t>
                  </w:r>
                </w:p>
                <w:p w14:paraId="36398ADB" w14:textId="77777777" w:rsidR="00946182" w:rsidRDefault="00000000">
                  <w:pPr>
                    <w:spacing w:line="228" w:lineRule="auto"/>
                  </w:pPr>
                  <w:r>
                    <w:rPr>
                      <w:color w:val="111111"/>
                      <w:sz w:val="16"/>
                    </w:rPr>
                    <w:t>None declared.</w:t>
                  </w:r>
                </w:p>
              </w:tc>
            </w:tr>
          </w:tbl>
          <w:p w14:paraId="463B92B1" w14:textId="77777777" w:rsidR="00946182" w:rsidRDefault="00946182"/>
        </w:tc>
        <w:tc>
          <w:tcPr>
            <w:tcW w:w="3484" w:type="dxa"/>
            <w:tcBorders>
              <w:top w:val="single" w:sz="8" w:space="0" w:color="D5DEE8"/>
              <w:left w:val="single" w:sz="8" w:space="0" w:color="D5DEE8"/>
              <w:bottom w:val="single" w:sz="8" w:space="0" w:color="D5DEE8"/>
              <w:right w:val="single" w:sz="8" w:space="0" w:color="D5DEE8"/>
            </w:tcBorders>
            <w:shd w:val="clear" w:color="auto" w:fill="FAFCFE"/>
            <w:tcMar>
              <w:top w:w="135" w:type="dxa"/>
              <w:left w:w="90" w:type="dxa"/>
              <w:bottom w:w="135" w:type="dxa"/>
              <w:right w:w="90" w:type="dxa"/>
            </w:tcMar>
          </w:tcPr>
          <w:p w14:paraId="76776F15" w14:textId="77777777" w:rsidR="00946182" w:rsidRDefault="00946182">
            <w:pPr>
              <w:spacing w:line="24" w:lineRule="auto"/>
            </w:pPr>
          </w:p>
          <w:tbl>
            <w:tblPr>
              <w:tblW w:w="0" w:type="auto"/>
              <w:tblLayout w:type="fixed"/>
              <w:tblLook w:val="04A0" w:firstRow="1" w:lastRow="0" w:firstColumn="1" w:lastColumn="0" w:noHBand="0" w:noVBand="1"/>
            </w:tblPr>
            <w:tblGrid>
              <w:gridCol w:w="691"/>
              <w:gridCol w:w="2476"/>
            </w:tblGrid>
            <w:tr w:rsidR="00946182" w14:paraId="4F7DF871" w14:textId="77777777">
              <w:tc>
                <w:tcPr>
                  <w:tcW w:w="691" w:type="dxa"/>
                  <w:tcBorders>
                    <w:top w:val="nil"/>
                    <w:left w:val="nil"/>
                    <w:bottom w:val="nil"/>
                    <w:right w:val="nil"/>
                  </w:tcBorders>
                  <w:tcMar>
                    <w:top w:w="0" w:type="dxa"/>
                    <w:left w:w="0" w:type="dxa"/>
                    <w:bottom w:w="0" w:type="dxa"/>
                    <w:right w:w="30" w:type="dxa"/>
                  </w:tcMar>
                </w:tcPr>
                <w:p w14:paraId="5EED7037" w14:textId="77777777" w:rsidR="00946182" w:rsidRDefault="00000000">
                  <w:r>
                    <w:rPr>
                      <w:noProof/>
                    </w:rPr>
                    <w:drawing>
                      <wp:inline distT="0" distB="0" distL="0" distR="0" wp14:anchorId="2AA58F4A" wp14:editId="2C76C108">
                        <wp:extent cx="347472"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t.png"/>
                                <pic:cNvPicPr/>
                              </pic:nvPicPr>
                              <pic:blipFill>
                                <a:blip r:embed="rId11"/>
                                <a:stretch>
                                  <a:fillRect/>
                                </a:stretch>
                              </pic:blipFill>
                              <pic:spPr>
                                <a:xfrm>
                                  <a:off x="0" y="0"/>
                                  <a:ext cx="347472" cy="347472"/>
                                </a:xfrm>
                                <a:prstGeom prst="rect">
                                  <a:avLst/>
                                </a:prstGeom>
                              </pic:spPr>
                            </pic:pic>
                          </a:graphicData>
                        </a:graphic>
                      </wp:inline>
                    </w:drawing>
                  </w:r>
                </w:p>
              </w:tc>
              <w:tc>
                <w:tcPr>
                  <w:tcW w:w="2476" w:type="dxa"/>
                  <w:tcBorders>
                    <w:top w:val="nil"/>
                    <w:left w:val="nil"/>
                    <w:bottom w:val="nil"/>
                    <w:right w:val="nil"/>
                  </w:tcBorders>
                  <w:tcMar>
                    <w:top w:w="0" w:type="dxa"/>
                    <w:left w:w="0" w:type="dxa"/>
                    <w:bottom w:w="0" w:type="dxa"/>
                    <w:right w:w="0" w:type="dxa"/>
                  </w:tcMar>
                </w:tcPr>
                <w:p w14:paraId="55F6C3EC" w14:textId="77777777" w:rsidR="00946182" w:rsidRDefault="00000000">
                  <w:pPr>
                    <w:spacing w:after="40" w:line="228" w:lineRule="auto"/>
                  </w:pPr>
                  <w:r>
                    <w:rPr>
                      <w:b/>
                      <w:color w:val="006A39"/>
                      <w:sz w:val="16"/>
                    </w:rPr>
                    <w:t>GRANT SUPPORT</w:t>
                  </w:r>
                </w:p>
                <w:p w14:paraId="76C71BAF" w14:textId="77777777" w:rsidR="00946182" w:rsidRDefault="00000000">
                  <w:pPr>
                    <w:spacing w:line="228" w:lineRule="auto"/>
                  </w:pPr>
                  <w:r>
                    <w:rPr>
                      <w:color w:val="111111"/>
                      <w:sz w:val="16"/>
                    </w:rPr>
                    <w:t>None declared.</w:t>
                  </w:r>
                </w:p>
              </w:tc>
            </w:tr>
          </w:tbl>
          <w:p w14:paraId="2EB0E83C" w14:textId="77777777" w:rsidR="00946182" w:rsidRDefault="00946182"/>
        </w:tc>
        <w:tc>
          <w:tcPr>
            <w:tcW w:w="3484" w:type="dxa"/>
            <w:tcBorders>
              <w:top w:val="single" w:sz="8" w:space="0" w:color="D5DEE8"/>
              <w:left w:val="single" w:sz="8" w:space="0" w:color="D5DEE8"/>
              <w:bottom w:val="single" w:sz="8" w:space="0" w:color="D5DEE8"/>
              <w:right w:val="single" w:sz="8" w:space="0" w:color="D5DEE8"/>
            </w:tcBorders>
            <w:shd w:val="clear" w:color="auto" w:fill="FAFCFE"/>
            <w:tcMar>
              <w:top w:w="135" w:type="dxa"/>
              <w:left w:w="90" w:type="dxa"/>
              <w:bottom w:w="135" w:type="dxa"/>
              <w:right w:w="90" w:type="dxa"/>
            </w:tcMar>
          </w:tcPr>
          <w:p w14:paraId="53CA0FD3" w14:textId="77777777" w:rsidR="00946182" w:rsidRDefault="00946182">
            <w:pPr>
              <w:spacing w:line="24" w:lineRule="auto"/>
            </w:pPr>
          </w:p>
          <w:tbl>
            <w:tblPr>
              <w:tblW w:w="0" w:type="auto"/>
              <w:tblLayout w:type="fixed"/>
              <w:tblLook w:val="04A0" w:firstRow="1" w:lastRow="0" w:firstColumn="1" w:lastColumn="0" w:noHBand="0" w:noVBand="1"/>
            </w:tblPr>
            <w:tblGrid>
              <w:gridCol w:w="691"/>
              <w:gridCol w:w="2476"/>
            </w:tblGrid>
            <w:tr w:rsidR="00946182" w14:paraId="726134E9" w14:textId="77777777">
              <w:tc>
                <w:tcPr>
                  <w:tcW w:w="691" w:type="dxa"/>
                  <w:tcBorders>
                    <w:top w:val="nil"/>
                    <w:left w:val="nil"/>
                    <w:bottom w:val="nil"/>
                    <w:right w:val="nil"/>
                  </w:tcBorders>
                  <w:tcMar>
                    <w:top w:w="0" w:type="dxa"/>
                    <w:left w:w="0" w:type="dxa"/>
                    <w:bottom w:w="0" w:type="dxa"/>
                    <w:right w:w="30" w:type="dxa"/>
                  </w:tcMar>
                </w:tcPr>
                <w:p w14:paraId="09CDFD2E" w14:textId="77777777" w:rsidR="00946182" w:rsidRDefault="00000000">
                  <w:r>
                    <w:rPr>
                      <w:noProof/>
                    </w:rPr>
                    <w:drawing>
                      <wp:inline distT="0" distB="0" distL="0" distR="0" wp14:anchorId="62D81DC1" wp14:editId="17FA6AC1">
                        <wp:extent cx="347472" cy="3474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e.png"/>
                                <pic:cNvPicPr/>
                              </pic:nvPicPr>
                              <pic:blipFill>
                                <a:blip r:embed="rId12"/>
                                <a:stretch>
                                  <a:fillRect/>
                                </a:stretch>
                              </pic:blipFill>
                              <pic:spPr>
                                <a:xfrm>
                                  <a:off x="0" y="0"/>
                                  <a:ext cx="347472" cy="347472"/>
                                </a:xfrm>
                                <a:prstGeom prst="rect">
                                  <a:avLst/>
                                </a:prstGeom>
                              </pic:spPr>
                            </pic:pic>
                          </a:graphicData>
                        </a:graphic>
                      </wp:inline>
                    </w:drawing>
                  </w:r>
                </w:p>
              </w:tc>
              <w:tc>
                <w:tcPr>
                  <w:tcW w:w="2476" w:type="dxa"/>
                  <w:tcBorders>
                    <w:top w:val="nil"/>
                    <w:left w:val="nil"/>
                    <w:bottom w:val="nil"/>
                    <w:right w:val="nil"/>
                  </w:tcBorders>
                  <w:tcMar>
                    <w:top w:w="0" w:type="dxa"/>
                    <w:left w:w="0" w:type="dxa"/>
                    <w:bottom w:w="0" w:type="dxa"/>
                    <w:right w:w="0" w:type="dxa"/>
                  </w:tcMar>
                </w:tcPr>
                <w:p w14:paraId="3E7673ED" w14:textId="77777777" w:rsidR="00946182" w:rsidRDefault="00000000">
                  <w:pPr>
                    <w:spacing w:after="40" w:line="228" w:lineRule="auto"/>
                  </w:pPr>
                  <w:r>
                    <w:rPr>
                      <w:b/>
                      <w:color w:val="257DD5"/>
                      <w:sz w:val="16"/>
                    </w:rPr>
                    <w:t>ARTICLE TYPE</w:t>
                  </w:r>
                </w:p>
                <w:p w14:paraId="614A1700" w14:textId="77777777" w:rsidR="00946182" w:rsidRDefault="00000000">
                  <w:pPr>
                    <w:spacing w:line="228" w:lineRule="auto"/>
                  </w:pPr>
                  <w:r>
                    <w:rPr>
                      <w:color w:val="111111"/>
                      <w:sz w:val="16"/>
                    </w:rPr>
                    <w:t>Original Research</w:t>
                  </w:r>
                </w:p>
              </w:tc>
            </w:tr>
          </w:tbl>
          <w:p w14:paraId="1637CDA7" w14:textId="77777777" w:rsidR="00946182" w:rsidRDefault="00946182"/>
        </w:tc>
      </w:tr>
    </w:tbl>
    <w:p w14:paraId="27DF6BE0" w14:textId="77777777" w:rsidR="00946182" w:rsidRDefault="00946182">
      <w:pPr>
        <w:spacing w:line="60" w:lineRule="auto"/>
      </w:pPr>
    </w:p>
    <w:tbl>
      <w:tblPr>
        <w:tblW w:w="0" w:type="auto"/>
        <w:jc w:val="center"/>
        <w:tblLayout w:type="fixed"/>
        <w:tblLook w:val="04A0" w:firstRow="1" w:lastRow="0" w:firstColumn="1" w:lastColumn="0" w:noHBand="0" w:noVBand="1"/>
      </w:tblPr>
      <w:tblGrid>
        <w:gridCol w:w="2088"/>
        <w:gridCol w:w="8611"/>
        <w:gridCol w:w="50"/>
      </w:tblGrid>
      <w:tr w:rsidR="00946182" w14:paraId="439E853A" w14:textId="77777777">
        <w:trPr>
          <w:gridAfter w:val="1"/>
          <w:wAfter w:w="50" w:type="dxa"/>
          <w:jc w:val="center"/>
        </w:trPr>
        <w:tc>
          <w:tcPr>
            <w:tcW w:w="10699" w:type="dxa"/>
            <w:gridSpan w:val="2"/>
            <w:tcBorders>
              <w:top w:val="single" w:sz="9" w:space="0" w:color="79B98B"/>
              <w:left w:val="single" w:sz="9" w:space="0" w:color="79B98B"/>
              <w:bottom w:val="single" w:sz="9" w:space="0" w:color="79B98B"/>
              <w:right w:val="single" w:sz="9" w:space="0" w:color="79B98B"/>
            </w:tcBorders>
            <w:shd w:val="clear" w:color="auto" w:fill="F6FBF7"/>
            <w:tcMar>
              <w:top w:w="145" w:type="dxa"/>
              <w:left w:w="130" w:type="dxa"/>
              <w:bottom w:w="145" w:type="dxa"/>
              <w:right w:w="130" w:type="dxa"/>
            </w:tcMar>
          </w:tcPr>
          <w:p w14:paraId="413A34A3" w14:textId="77777777" w:rsidR="00946182" w:rsidRDefault="00000000">
            <w:pPr>
              <w:spacing w:after="120" w:line="240" w:lineRule="auto"/>
            </w:pPr>
            <w:r>
              <w:rPr>
                <w:noProof/>
              </w:rPr>
              <w:drawing>
                <wp:inline distT="0" distB="0" distL="0" distR="0" wp14:anchorId="7CDE2854" wp14:editId="71BE23E3">
                  <wp:extent cx="310896" cy="3108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tract.png"/>
                          <pic:cNvPicPr/>
                        </pic:nvPicPr>
                        <pic:blipFill>
                          <a:blip r:embed="rId13"/>
                          <a:stretch>
                            <a:fillRect/>
                          </a:stretch>
                        </pic:blipFill>
                        <pic:spPr>
                          <a:xfrm>
                            <a:off x="0" y="0"/>
                            <a:ext cx="310896" cy="310896"/>
                          </a:xfrm>
                          <a:prstGeom prst="rect">
                            <a:avLst/>
                          </a:prstGeom>
                        </pic:spPr>
                      </pic:pic>
                    </a:graphicData>
                  </a:graphic>
                </wp:inline>
              </w:drawing>
            </w:r>
            <w:r>
              <w:rPr>
                <w:rFonts w:ascii="Georgia" w:eastAsia="Georgia" w:hAnsi="Georgia"/>
                <w:color w:val="006A39"/>
                <w:sz w:val="26"/>
              </w:rPr>
              <w:t xml:space="preserve">   ABSTRACT</w:t>
            </w:r>
          </w:p>
          <w:p w14:paraId="6BC45992" w14:textId="77777777" w:rsidR="00322839" w:rsidRDefault="00322839" w:rsidP="00322839">
            <w:pPr>
              <w:spacing w:line="240" w:lineRule="auto"/>
              <w:jc w:val="both"/>
              <w:rPr>
                <w:rFonts w:ascii="Times New Roman" w:hAnsi="Times New Roman"/>
                <w:color w:val="000000"/>
                <w:sz w:val="20"/>
                <w:szCs w:val="20"/>
              </w:rPr>
            </w:pPr>
            <w:r>
              <w:rPr>
                <w:rFonts w:ascii="Times New Roman" w:hAnsi="Times New Roman"/>
                <w:color w:val="000000"/>
                <w:sz w:val="20"/>
                <w:szCs w:val="20"/>
              </w:rPr>
              <w:t>Purpose: This paper aimed to accomplish the task of translating and validating the Glaucoma Symptom Scale (GSS) in the Urdu language with the prospect of using it with the populace of glaucoma victims in Pakistan.</w:t>
            </w:r>
          </w:p>
          <w:p w14:paraId="66AD3916" w14:textId="77777777" w:rsidR="00322839" w:rsidRDefault="00322839" w:rsidP="00322839">
            <w:pPr>
              <w:spacing w:line="240" w:lineRule="auto"/>
              <w:jc w:val="both"/>
              <w:rPr>
                <w:rFonts w:ascii="Times New Roman" w:hAnsi="Times New Roman"/>
                <w:color w:val="000000"/>
                <w:sz w:val="20"/>
                <w:szCs w:val="20"/>
              </w:rPr>
            </w:pPr>
            <w:r>
              <w:rPr>
                <w:rFonts w:ascii="Times New Roman" w:hAnsi="Times New Roman"/>
                <w:color w:val="000000"/>
                <w:sz w:val="20"/>
                <w:szCs w:val="20"/>
              </w:rPr>
              <w:t>Methods: Sixty-seven clinically diagnosed patients of glaucoma of the age group 25 to 60 years old were enrolled. There was an assessment of clinical and demographic data. All the respondents were taken through the Urdu version of GSS which constitutes a total of 10 symptom items with two subscales SYMP-6 (non-ocular symptoms) and FUNC-4 (visual capability). The translation was done according to classical forward-backward practice. Classical Test Theory (CTT) was applied in the analysis of psychometric properties of the Urdu GSS, comprising of internal reliability (Cronbachs alpha), test-retest stability (interclass correlation coefficients), and convergent validity through the relationship of the variables with the relevant subscales of SF-36 health survey.</w:t>
            </w:r>
          </w:p>
          <w:p w14:paraId="1E73F55C" w14:textId="77777777" w:rsidR="00322839" w:rsidRDefault="00322839" w:rsidP="00322839">
            <w:pPr>
              <w:spacing w:line="240" w:lineRule="auto"/>
              <w:jc w:val="both"/>
              <w:rPr>
                <w:rFonts w:ascii="Times New Roman" w:hAnsi="Times New Roman"/>
                <w:color w:val="000000"/>
                <w:sz w:val="20"/>
                <w:szCs w:val="20"/>
              </w:rPr>
            </w:pPr>
            <w:r>
              <w:rPr>
                <w:rFonts w:ascii="Times New Roman" w:hAnsi="Times New Roman"/>
                <w:color w:val="000000"/>
                <w:sz w:val="20"/>
                <w:szCs w:val="20"/>
              </w:rPr>
              <w:t>Results: The Urdu version of the GSS was characterized by high levels of internal consistency of the entire scale ( = 0.81). Factor analysis confirmed two-factor design as supported by the scale with 48.92 variance. Overall and subscale GSS scores were found to have significant relationships with clinical indicators of disease severity and with respective SF-36 domains, which confirm convergent validity. There were a few items that had minimal floor and ceiling effects.</w:t>
            </w:r>
          </w:p>
          <w:p w14:paraId="727312A0" w14:textId="61988145" w:rsidR="00946182" w:rsidRDefault="00322839" w:rsidP="00322839">
            <w:pPr>
              <w:spacing w:before="50" w:after="84" w:line="295" w:lineRule="auto"/>
            </w:pPr>
            <w:r>
              <w:rPr>
                <w:rFonts w:ascii="Times New Roman" w:hAnsi="Times New Roman"/>
                <w:color w:val="000000"/>
                <w:sz w:val="20"/>
                <w:szCs w:val="20"/>
              </w:rPr>
              <w:t>Conclusion: Urdu translated version of the Glaucoma Symptom Scale is a valid and reliable tool when discussed with Classical Test theory. It can be successfully employed in determining the symptom burden and quality of life related to vision among the patients of glaucoma who speak Urdu. It is hoped that further research will be done to ascertain its use in other clinical environments.</w:t>
            </w:r>
          </w:p>
        </w:tc>
      </w:tr>
      <w:tr w:rsidR="00946182" w14:paraId="16BD9D91" w14:textId="77777777">
        <w:trPr>
          <w:jc w:val="center"/>
        </w:trPr>
        <w:tc>
          <w:tcPr>
            <w:tcW w:w="2088" w:type="dxa"/>
            <w:tcBorders>
              <w:top w:val="single" w:sz="8" w:space="0" w:color="D5DEE8"/>
              <w:left w:val="single" w:sz="8" w:space="0" w:color="D5DEE8"/>
              <w:bottom w:val="single" w:sz="8" w:space="0" w:color="D5DEE8"/>
              <w:right w:val="single" w:sz="8" w:space="0" w:color="D5DEE8"/>
            </w:tcBorders>
            <w:shd w:val="clear" w:color="auto" w:fill="257DD5"/>
            <w:tcMar>
              <w:top w:w="105" w:type="dxa"/>
              <w:left w:w="80" w:type="dxa"/>
              <w:bottom w:w="105" w:type="dxa"/>
              <w:right w:w="80" w:type="dxa"/>
            </w:tcMar>
          </w:tcPr>
          <w:p w14:paraId="3369DAB6" w14:textId="77777777" w:rsidR="00946182" w:rsidRDefault="00000000">
            <w:pPr>
              <w:spacing w:line="240" w:lineRule="auto"/>
              <w:jc w:val="center"/>
            </w:pPr>
            <w:r>
              <w:rPr>
                <w:rFonts w:ascii="Liberation Sans" w:eastAsia="Liberation Sans" w:hAnsi="Liberation Sans"/>
                <w:b/>
                <w:color w:val="FFFFFF"/>
                <w:sz w:val="20"/>
              </w:rPr>
              <w:t>⌕  KEYWORDS</w:t>
            </w:r>
          </w:p>
        </w:tc>
        <w:tc>
          <w:tcPr>
            <w:tcW w:w="8611" w:type="dxa"/>
            <w:gridSpan w:val="2"/>
            <w:tcBorders>
              <w:top w:val="single" w:sz="8" w:space="0" w:color="D5DEE8"/>
              <w:left w:val="single" w:sz="8" w:space="0" w:color="D5DEE8"/>
              <w:bottom w:val="single" w:sz="8" w:space="0" w:color="D5DEE8"/>
              <w:right w:val="single" w:sz="8" w:space="0" w:color="D5DEE8"/>
            </w:tcBorders>
            <w:shd w:val="clear" w:color="auto" w:fill="F7FAFE"/>
            <w:tcMar>
              <w:top w:w="105" w:type="dxa"/>
              <w:left w:w="100" w:type="dxa"/>
              <w:bottom w:w="105" w:type="dxa"/>
              <w:right w:w="100" w:type="dxa"/>
            </w:tcMar>
          </w:tcPr>
          <w:p w14:paraId="7EF84D62" w14:textId="5392862F" w:rsidR="00946182" w:rsidRDefault="00322839">
            <w:pPr>
              <w:spacing w:line="228" w:lineRule="auto"/>
            </w:pPr>
            <w:r w:rsidRPr="00322839">
              <w:rPr>
                <w:rFonts w:ascii="Georgia" w:eastAsia="Georgia" w:hAnsi="Georgia"/>
                <w:color w:val="111111"/>
                <w:sz w:val="18"/>
              </w:rPr>
              <w:t>Low Vision, Quality of Life, NEI-VFQ-25, Psychometric Evaluation, Urdu Translation</w:t>
            </w:r>
          </w:p>
        </w:tc>
      </w:tr>
    </w:tbl>
    <w:p w14:paraId="03528BFC" w14:textId="77777777" w:rsidR="00946182" w:rsidRDefault="00946182">
      <w:pPr>
        <w:pBdr>
          <w:bottom w:val="single" w:sz="12" w:space="0" w:color="006A39"/>
        </w:pBdr>
        <w:spacing w:before="80" w:after="40" w:line="24" w:lineRule="auto"/>
      </w:pPr>
    </w:p>
    <w:p w14:paraId="41348C89" w14:textId="472BB5FF" w:rsidR="00860718" w:rsidRDefault="00860718">
      <w:pPr>
        <w:spacing w:after="200"/>
      </w:pPr>
      <w:r>
        <w:br w:type="page"/>
      </w:r>
    </w:p>
    <w:p w14:paraId="25B25072" w14:textId="77777777" w:rsidR="0097024E" w:rsidRPr="005B40BA" w:rsidRDefault="0097024E" w:rsidP="0097024E">
      <w:pPr>
        <w:spacing w:line="240" w:lineRule="auto"/>
        <w:jc w:val="both"/>
        <w:rPr>
          <w:rFonts w:ascii="Times New Roman" w:hAnsi="Times New Roman"/>
          <w:b/>
          <w:bCs/>
          <w:color w:val="000000"/>
          <w:sz w:val="20"/>
          <w:szCs w:val="20"/>
        </w:rPr>
      </w:pPr>
      <w:r w:rsidRPr="005B40BA">
        <w:rPr>
          <w:rFonts w:ascii="Times New Roman" w:hAnsi="Times New Roman"/>
          <w:b/>
          <w:bCs/>
          <w:color w:val="000000"/>
          <w:sz w:val="20"/>
          <w:szCs w:val="20"/>
        </w:rPr>
        <w:lastRenderedPageBreak/>
        <w:t xml:space="preserve">INTRODUCTION </w:t>
      </w:r>
    </w:p>
    <w:p w14:paraId="44C4E09C"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Glaucoma can be described as an irreversible neurodegenerative disease, which, under the condition of untimely treatment, can result in a permanent loss of vision in the visual field, which can eventually lead to total loss of vision [1, 2]. This disease is a group of progressive optic neuropathology, which leads to the decline of the visual field. Primary open-angle glaucoma, which accounts for about three-quarters of all glaucoma diagnoses, often has no definite symptoms at onset, and is often assessed with difficulty, but can eventually result in significant visual impairment [3]. The disease has negative impacts on the quality of self-reported visual function, mobility, autonomy, and psychological wellbeing of the patients, particularly those with a high stage of the disease [4].</w:t>
      </w:r>
    </w:p>
    <w:p w14:paraId="4FE9872E"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second cause of blindness according to the world health organization (WHO), is glaucoma which affects about 76 million individuals across the globe in the year 2020 with the probability estimating about 111 million by 2040. This condition is likely to develop during the asymptomatic stage until major damages are done thus it is important to diagnose this condition as early as possible and by surveillances to avoid any deterioration of sight.</w:t>
      </w:r>
    </w:p>
    <w:p w14:paraId="4CF3C6A1"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One of the major causes of blindness that cannot be reversed is glaucoma which is mainly related to mechanical nature of the eye tissues especially the optic disc and the surrounding. To understand how increased IOP or other stressors affect the stability and functioning of the eye, it is important to understand the mechanical mechanisms underlying glaucoma[6]. Psychometrically adequate instrument gives assurance that both the output obtained was valid (is what it measures) and reliable (gives similar results).[7] The psychometric testing of Urdu-GSS covers a number of processes: the Reliability Analysis (whether or not the items are internally consistent (Cronbachs alpha) and are stable over the course of time (test-retest reliability)). Validity Testing: Content validity is ensured through expert review of translated items. Construct validity involves comparing GSS scores across different levels of glaucoma severity. Convergent validity checks whether GSS scores correlate with other clinical measures such as visual field loss or IOP levels.[8] Feasibility Analysis: Looks at whether participants can complete the scale without much confusion or need for assistance, how long it takes, and whether the layout and language are clear.[9]</w:t>
      </w:r>
    </w:p>
    <w:p w14:paraId="06FD1B73" w14:textId="3E4693AB" w:rsidR="0097024E" w:rsidRDefault="0097024E" w:rsidP="00FC525E">
      <w:pPr>
        <w:spacing w:line="240" w:lineRule="auto"/>
        <w:jc w:val="both"/>
        <w:rPr>
          <w:rFonts w:ascii="Times New Roman" w:hAnsi="Times New Roman"/>
          <w:color w:val="000000"/>
          <w:sz w:val="20"/>
          <w:szCs w:val="20"/>
        </w:rPr>
      </w:pPr>
      <w:r>
        <w:rPr>
          <w:rFonts w:ascii="Times New Roman" w:hAnsi="Times New Roman"/>
          <w:color w:val="000000"/>
          <w:sz w:val="20"/>
          <w:szCs w:val="20"/>
        </w:rPr>
        <w:t>The original GSS, developed by National Eye Institute researchers, consists of 10 items focusing on functional and non-functional symptoms associated with glaucoma, such as blurred vision, eye pain, halos around lights, and difficulties with activities such as reading or driving. The level of severity of experienced symptoms or difficulties is judged by the respondents according to a Likert scale. The GSS has exhibited favorable psychometric responses among Western populaces and has been translated into several other languages including Spanish, Chinese and Turkish among others .[10]</w:t>
      </w:r>
      <w:r w:rsidR="00FC525E">
        <w:rPr>
          <w:rFonts w:ascii="Times New Roman" w:hAnsi="Times New Roman"/>
          <w:color w:val="000000"/>
          <w:sz w:val="20"/>
          <w:szCs w:val="20"/>
        </w:rPr>
        <w:t xml:space="preserve"> the </w:t>
      </w:r>
      <w:r w:rsidR="00FC525E" w:rsidRPr="00FC525E">
        <w:rPr>
          <w:rFonts w:ascii="Times New Roman" w:hAnsi="Times New Roman"/>
          <w:color w:val="000000"/>
          <w:sz w:val="20"/>
          <w:szCs w:val="20"/>
        </w:rPr>
        <w:t>objective</w:t>
      </w:r>
      <w:r w:rsidR="00FC525E">
        <w:rPr>
          <w:rFonts w:ascii="Times New Roman" w:hAnsi="Times New Roman"/>
          <w:b/>
          <w:bCs/>
          <w:color w:val="000000"/>
          <w:sz w:val="20"/>
          <w:szCs w:val="20"/>
        </w:rPr>
        <w:t xml:space="preserve"> </w:t>
      </w:r>
      <w:r w:rsidR="00FC525E" w:rsidRPr="00FC525E">
        <w:rPr>
          <w:rFonts w:ascii="Times New Roman" w:hAnsi="Times New Roman"/>
          <w:color w:val="000000"/>
          <w:sz w:val="20"/>
          <w:szCs w:val="20"/>
        </w:rPr>
        <w:t>of this study is to</w:t>
      </w:r>
      <w:r>
        <w:rPr>
          <w:rFonts w:ascii="Times New Roman" w:hAnsi="Times New Roman"/>
          <w:color w:val="000000"/>
          <w:sz w:val="20"/>
          <w:szCs w:val="20"/>
        </w:rPr>
        <w:t xml:space="preserve"> translate and culturally modify the questionnaire on Glaucoma Symptoms Scale (GSS).  </w:t>
      </w:r>
    </w:p>
    <w:p w14:paraId="0F9D76B4" w14:textId="77777777" w:rsidR="00526C84" w:rsidRDefault="00526C84" w:rsidP="0097024E">
      <w:pPr>
        <w:spacing w:line="240" w:lineRule="auto"/>
        <w:jc w:val="both"/>
        <w:rPr>
          <w:rFonts w:ascii="Times New Roman" w:hAnsi="Times New Roman"/>
          <w:b/>
          <w:bCs/>
          <w:color w:val="000000"/>
          <w:sz w:val="20"/>
          <w:szCs w:val="20"/>
        </w:rPr>
      </w:pPr>
    </w:p>
    <w:p w14:paraId="3712C66C" w14:textId="279EBBF5" w:rsidR="0097024E" w:rsidRPr="00526C84" w:rsidRDefault="0097024E" w:rsidP="0097024E">
      <w:pPr>
        <w:spacing w:line="240" w:lineRule="auto"/>
        <w:jc w:val="both"/>
        <w:rPr>
          <w:rFonts w:ascii="Times New Roman" w:hAnsi="Times New Roman"/>
          <w:b/>
          <w:bCs/>
          <w:color w:val="000000"/>
          <w:sz w:val="20"/>
          <w:szCs w:val="20"/>
        </w:rPr>
      </w:pPr>
      <w:r w:rsidRPr="00526C84">
        <w:rPr>
          <w:rFonts w:ascii="Times New Roman" w:hAnsi="Times New Roman"/>
          <w:b/>
          <w:bCs/>
          <w:color w:val="000000"/>
          <w:sz w:val="20"/>
          <w:szCs w:val="20"/>
        </w:rPr>
        <w:t>METHODOLOGY</w:t>
      </w:r>
    </w:p>
    <w:p w14:paraId="6652E730"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This study was a comparative cross-sectional research conducted at Tehsil Head Quarter Hospital Sharqpur, District Sheikhpura, over a duration of six months. A total sample of 67 patients was calculated using a 95% confidence interval (Z = 1.96), a margin of error of 5% (d = 0.05), and a prevalence value of 0.138, and participants were selected through a convenient sampling technique. Patients diagnosed with glaucoma aged between 25 and 60 years were included, while those with other ocular pathologies and individuals below 25 or above 60 years of age were excluded. Data were collected using the Glaucoma Symptom Scale (GSS), which was translated and validated through a standardized process including forward translation, item reconciliation, back translation, expert review of both translations, cognitive interviewing, pre-testing, and validation.</w:t>
      </w:r>
    </w:p>
    <w:p w14:paraId="74497BFB" w14:textId="7ADE96BF" w:rsidR="0097024E" w:rsidRDefault="0097024E" w:rsidP="00CE1359">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In forward translation of GSS primary care givers the respective translator has knowledge in test development and in research field relating to glaucoma qol. The translator was the inhabitant presenter of the Urdu verbal communication and has the knowledge of both English and Urdu language. The two translators translate the GSS questionnaire independently from each other into Urdu language the translator was ask to use accepted and suitable words for listeners and it should be simple and clear. </w:t>
      </w:r>
    </w:p>
    <w:p w14:paraId="52D73D81" w14:textId="259B8B26" w:rsidR="0097024E" w:rsidRDefault="0097024E" w:rsidP="00BF0D93">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The instruction was given to the translator. The translators were guide to concentrate on the theoretical equivalence rather than word to word translation. They were guide try to grab the most significant meaning of English terminology and translate them according to it The they were guide to be simple; short in their information long sentence with many clause must be avoid they were guide keep in mind how the typical primary caregivers will recognize the objects. They were guide take the age of caregivers into account and thus avoid such terminologies that are difficult to understand. They were guide that he must be clear, simple and comprehensible. The translators give two forward translation. </w:t>
      </w:r>
    </w:p>
    <w:p w14:paraId="32C8852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After two separate forward translations a reconciliation meeting will held. Two different translations will assessed and compared for comprehension, for concept, and clearness of language comparative to English glaucoma QOL questionnaire. Those who will participate in reconciliation process they will ask to document the assessment of items one by one. They will asked to select the most excellent translation or if neither then suggest another translation. After consequent discussion among the participants a reconciled version was obtained.</w:t>
      </w:r>
    </w:p>
    <w:p w14:paraId="51A93270" w14:textId="5CBCC6FB" w:rsidR="0097024E" w:rsidRDefault="0097024E" w:rsidP="00AF53AF">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The forward translation and English CPQOL questionnaire was assessed by the conceptual equivalence of backward translation. The CP QOL questionnaire and backward translation was very similar to each other. If they were not find to be similar then changes are being recognized and then it is corrected. For selecting the backward translator following things were kept in mind he has a good knowledge of English and has all the experience that the forward translator has. After this procedure the backward translator translate the reconciled forward translation into English. The backward translator has not work with questionnaire before. Review of the Forward and Backward Translation Review was planned for final forward translation. In this procedure those who participated have a command on both language English and Urdu. Member who did the forward translation was present external expertise with experience in questionnaire development and translation. After that they focus on the conceptual difference and English CP QOL questionnaire was compared with backward translation. For the final forward translation the applicant review the item one by one </w:t>
      </w:r>
      <w:r>
        <w:rPr>
          <w:rFonts w:ascii="Times New Roman" w:hAnsi="Times New Roman"/>
          <w:color w:val="000000"/>
          <w:sz w:val="20"/>
          <w:szCs w:val="20"/>
        </w:rPr>
        <w:lastRenderedPageBreak/>
        <w:t xml:space="preserve">and then compared back translated version with the English version. The translation was very clear simple and concise. There was no conceptual difference between the final forward translation and English CP QOL. Pre test The aim of pre testing is to confirm that all the items in the translated questionnaire were easily understandable and acceptable. Six to eight parents of cerebral palsy participate in pre testing. They represent their children across the levels of education and function. The participants were given a peaceful environment. The participants were informed about the purpose of the pre testing. The questionnaire was given to participants and everything related to questionnaire was explained. The respondents were asked to explain every question what they think about it. The alternative words or terms used for the participants and they were asked to select which one of the alternatives terms best for the </w:t>
      </w:r>
    </w:p>
    <w:p w14:paraId="6300C389" w14:textId="44A3D8B1"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Validation study The purpose of the validation was to access the reliability and validity of the cerebral palsy quality of life of translated version. The demographic information were also included it was a qualitative, validation study including 200 primary caregivers of cerebral palsy. Gross motor function classification system It ranges from level I to level V and it tells us about child motor function GMFCS was used to construct validity with different domains of Urdu translated primary caregivers version. </w:t>
      </w:r>
    </w:p>
    <w:p w14:paraId="782E2D64" w14:textId="29C0E09E" w:rsidR="0097024E" w:rsidRDefault="0097024E" w:rsidP="005C0018">
      <w:pPr>
        <w:spacing w:line="240" w:lineRule="auto"/>
        <w:jc w:val="both"/>
        <w:rPr>
          <w:rFonts w:ascii="Times New Roman" w:hAnsi="Times New Roman"/>
          <w:color w:val="000000"/>
          <w:sz w:val="20"/>
          <w:szCs w:val="20"/>
        </w:rPr>
      </w:pPr>
      <w:r>
        <w:rPr>
          <w:rFonts w:ascii="Times New Roman" w:hAnsi="Times New Roman"/>
          <w:color w:val="000000"/>
          <w:sz w:val="20"/>
          <w:szCs w:val="20"/>
        </w:rPr>
        <w:t>Data is collected by convenient sampling technique</w:t>
      </w:r>
      <w:r w:rsidR="006E153C">
        <w:rPr>
          <w:rFonts w:ascii="Times New Roman" w:hAnsi="Times New Roman"/>
          <w:color w:val="000000"/>
          <w:sz w:val="20"/>
          <w:szCs w:val="20"/>
        </w:rPr>
        <w:t xml:space="preserve">. </w:t>
      </w:r>
      <w:r>
        <w:rPr>
          <w:rFonts w:ascii="Times New Roman" w:hAnsi="Times New Roman"/>
          <w:color w:val="000000"/>
          <w:sz w:val="20"/>
          <w:szCs w:val="20"/>
        </w:rPr>
        <w:t>Data is collected by GSS Urdu translated questionnaire age 25 to 60 years (10items)</w:t>
      </w:r>
      <w:r w:rsidR="005C0018">
        <w:rPr>
          <w:rFonts w:ascii="Times New Roman" w:hAnsi="Times New Roman"/>
          <w:color w:val="000000"/>
          <w:sz w:val="20"/>
          <w:szCs w:val="20"/>
        </w:rPr>
        <w:t xml:space="preserve">: </w:t>
      </w:r>
      <w:r>
        <w:rPr>
          <w:rFonts w:ascii="Times New Roman" w:hAnsi="Times New Roman"/>
          <w:color w:val="000000"/>
          <w:sz w:val="20"/>
          <w:szCs w:val="20"/>
        </w:rPr>
        <w:t>Eye pain or discomfort</w:t>
      </w:r>
      <w:r w:rsidR="005C0018">
        <w:rPr>
          <w:rFonts w:ascii="Times New Roman" w:hAnsi="Times New Roman"/>
          <w:color w:val="000000"/>
          <w:sz w:val="20"/>
          <w:szCs w:val="20"/>
        </w:rPr>
        <w:t xml:space="preserve">, </w:t>
      </w:r>
      <w:r>
        <w:rPr>
          <w:rFonts w:ascii="Times New Roman" w:hAnsi="Times New Roman"/>
          <w:color w:val="000000"/>
          <w:sz w:val="20"/>
          <w:szCs w:val="20"/>
        </w:rPr>
        <w:t>Blurred vision</w:t>
      </w:r>
      <w:r w:rsidR="005C0018">
        <w:rPr>
          <w:rFonts w:ascii="Times New Roman" w:hAnsi="Times New Roman"/>
          <w:color w:val="000000"/>
          <w:sz w:val="20"/>
          <w:szCs w:val="20"/>
        </w:rPr>
        <w:t xml:space="preserve">, </w:t>
      </w:r>
      <w:r>
        <w:rPr>
          <w:rFonts w:ascii="Times New Roman" w:hAnsi="Times New Roman"/>
          <w:color w:val="000000"/>
          <w:sz w:val="20"/>
          <w:szCs w:val="20"/>
        </w:rPr>
        <w:t>Double vision</w:t>
      </w:r>
      <w:r w:rsidR="005C0018">
        <w:rPr>
          <w:rFonts w:ascii="Times New Roman" w:hAnsi="Times New Roman"/>
          <w:color w:val="000000"/>
          <w:sz w:val="20"/>
          <w:szCs w:val="20"/>
        </w:rPr>
        <w:t xml:space="preserve">, </w:t>
      </w:r>
      <w:r>
        <w:rPr>
          <w:rFonts w:ascii="Times New Roman" w:hAnsi="Times New Roman"/>
          <w:color w:val="000000"/>
          <w:sz w:val="20"/>
          <w:szCs w:val="20"/>
        </w:rPr>
        <w:t>Eye Redness</w:t>
      </w:r>
      <w:r w:rsidR="005C0018">
        <w:rPr>
          <w:rFonts w:ascii="Times New Roman" w:hAnsi="Times New Roman"/>
          <w:color w:val="000000"/>
          <w:sz w:val="20"/>
          <w:szCs w:val="20"/>
        </w:rPr>
        <w:t xml:space="preserve">, </w:t>
      </w:r>
      <w:r>
        <w:rPr>
          <w:rFonts w:ascii="Times New Roman" w:hAnsi="Times New Roman"/>
          <w:color w:val="000000"/>
          <w:sz w:val="20"/>
          <w:szCs w:val="20"/>
        </w:rPr>
        <w:t xml:space="preserve">Sensitivity to light </w:t>
      </w:r>
      <w:r w:rsidR="005C0018">
        <w:rPr>
          <w:rFonts w:ascii="Times New Roman" w:hAnsi="Times New Roman"/>
          <w:color w:val="000000"/>
          <w:sz w:val="20"/>
          <w:szCs w:val="20"/>
        </w:rPr>
        <w:t xml:space="preserve">, </w:t>
      </w:r>
      <w:r>
        <w:rPr>
          <w:rFonts w:ascii="Times New Roman" w:hAnsi="Times New Roman"/>
          <w:color w:val="000000"/>
          <w:sz w:val="20"/>
          <w:szCs w:val="20"/>
        </w:rPr>
        <w:t>Difficulty with night vision</w:t>
      </w:r>
      <w:r w:rsidR="005C0018">
        <w:rPr>
          <w:rFonts w:ascii="Times New Roman" w:hAnsi="Times New Roman"/>
          <w:color w:val="000000"/>
          <w:sz w:val="20"/>
          <w:szCs w:val="20"/>
        </w:rPr>
        <w:t xml:space="preserve">, </w:t>
      </w:r>
      <w:r>
        <w:rPr>
          <w:rFonts w:ascii="Times New Roman" w:hAnsi="Times New Roman"/>
          <w:color w:val="000000"/>
          <w:sz w:val="20"/>
          <w:szCs w:val="20"/>
        </w:rPr>
        <w:t>Difficulty with peripheral vision</w:t>
      </w:r>
      <w:r w:rsidR="005C0018">
        <w:rPr>
          <w:rFonts w:ascii="Times New Roman" w:hAnsi="Times New Roman"/>
          <w:color w:val="000000"/>
          <w:sz w:val="20"/>
          <w:szCs w:val="20"/>
        </w:rPr>
        <w:t xml:space="preserve">, </w:t>
      </w:r>
      <w:r>
        <w:rPr>
          <w:rFonts w:ascii="Times New Roman" w:hAnsi="Times New Roman"/>
          <w:color w:val="000000"/>
          <w:sz w:val="20"/>
          <w:szCs w:val="20"/>
        </w:rPr>
        <w:t>Eye strain or fatigue</w:t>
      </w:r>
      <w:r w:rsidR="005C0018">
        <w:rPr>
          <w:rFonts w:ascii="Times New Roman" w:hAnsi="Times New Roman"/>
          <w:color w:val="000000"/>
          <w:sz w:val="20"/>
          <w:szCs w:val="20"/>
        </w:rPr>
        <w:t xml:space="preserve">, </w:t>
      </w:r>
      <w:r>
        <w:rPr>
          <w:rFonts w:ascii="Times New Roman" w:hAnsi="Times New Roman"/>
          <w:color w:val="000000"/>
          <w:sz w:val="20"/>
          <w:szCs w:val="20"/>
        </w:rPr>
        <w:t>Difficulty with daily activities due to vision problems</w:t>
      </w:r>
      <w:r w:rsidR="005C0018">
        <w:rPr>
          <w:rFonts w:ascii="Times New Roman" w:hAnsi="Times New Roman"/>
          <w:color w:val="000000"/>
          <w:sz w:val="20"/>
          <w:szCs w:val="20"/>
        </w:rPr>
        <w:t xml:space="preserve">, </w:t>
      </w:r>
      <w:r>
        <w:rPr>
          <w:rFonts w:ascii="Times New Roman" w:hAnsi="Times New Roman"/>
          <w:color w:val="000000"/>
          <w:sz w:val="20"/>
          <w:szCs w:val="20"/>
        </w:rPr>
        <w:t>Worry or concern about vision loss.</w:t>
      </w:r>
    </w:p>
    <w:p w14:paraId="200ECCAC"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Transformation of items on the scale are ranged 0-100.All other items can be recoded using following formula </w:t>
      </w:r>
    </w:p>
    <w:p w14:paraId="72CEAF0F"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 1, we will record it 0 </w:t>
      </w:r>
    </w:p>
    <w:p w14:paraId="7E1EC4B6"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it2, we will record it 12.5 </w:t>
      </w:r>
    </w:p>
    <w:p w14:paraId="7D6D7A77"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3, we will record it 25 </w:t>
      </w:r>
    </w:p>
    <w:p w14:paraId="6C002D46"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4, we will record it 37.5 </w:t>
      </w:r>
    </w:p>
    <w:p w14:paraId="5DD5D4FB"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 5, we will record it 50 </w:t>
      </w:r>
    </w:p>
    <w:p w14:paraId="6F589971"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 6, we will record it 62.5 </w:t>
      </w:r>
    </w:p>
    <w:p w14:paraId="3503725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 7, we will record it 75 </w:t>
      </w:r>
    </w:p>
    <w:p w14:paraId="60468231"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 8, we will record it 87.5 </w:t>
      </w:r>
    </w:p>
    <w:p w14:paraId="0BFD850B"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the individual grade it 9, we will record it 100. </w:t>
      </w:r>
    </w:p>
    <w:p w14:paraId="17E5B86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Items are not graded on 9 point scale. • Does you worried about who will take care of him/her in the future? For this following grading will be used. </w:t>
      </w:r>
    </w:p>
    <w:p w14:paraId="62E05D93"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individual grade it 1, we will record it 0 </w:t>
      </w:r>
    </w:p>
    <w:p w14:paraId="5472AA8A"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individual grade it 2, we will record it 25 </w:t>
      </w:r>
    </w:p>
    <w:p w14:paraId="4E055DAD"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individual grade it 3, we will record it 50 </w:t>
      </w:r>
    </w:p>
    <w:p w14:paraId="3EE7A51E"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If individual grade it 4, we will record it 75 </w:t>
      </w:r>
    </w:p>
    <w:p w14:paraId="57B63F9F"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If individual grade it 5, we will record it 100</w:t>
      </w:r>
    </w:p>
    <w:p w14:paraId="1D8D995B" w14:textId="77777777" w:rsidR="004F5DCB" w:rsidRDefault="004F5DCB" w:rsidP="0097024E">
      <w:pPr>
        <w:spacing w:line="240" w:lineRule="auto"/>
        <w:jc w:val="both"/>
        <w:rPr>
          <w:rFonts w:ascii="Times New Roman" w:hAnsi="Times New Roman"/>
          <w:color w:val="000000"/>
          <w:sz w:val="20"/>
          <w:szCs w:val="20"/>
        </w:rPr>
      </w:pPr>
    </w:p>
    <w:p w14:paraId="05B39ACB" w14:textId="7F9F4E59" w:rsidR="0097024E" w:rsidRPr="004F5DCB" w:rsidRDefault="0097024E" w:rsidP="0097024E">
      <w:pPr>
        <w:spacing w:line="240" w:lineRule="auto"/>
        <w:jc w:val="both"/>
        <w:rPr>
          <w:rFonts w:ascii="Times New Roman" w:hAnsi="Times New Roman"/>
          <w:b/>
          <w:bCs/>
          <w:color w:val="000000"/>
          <w:sz w:val="20"/>
          <w:szCs w:val="20"/>
        </w:rPr>
      </w:pPr>
      <w:r w:rsidRPr="004F5DCB">
        <w:rPr>
          <w:rFonts w:ascii="Times New Roman" w:hAnsi="Times New Roman"/>
          <w:b/>
          <w:bCs/>
          <w:color w:val="000000"/>
          <w:sz w:val="20"/>
          <w:szCs w:val="20"/>
        </w:rPr>
        <w:t>RESULTS</w:t>
      </w:r>
    </w:p>
    <w:p w14:paraId="5BE108EB"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This study of the Urdu adaptation of the Glaucoma Symptom Scale (GSS) in a low literacy sample population (n = 67) revealed the Glaucoma Symptom Scale had dependable internal consistency as a whole (Cronbach’s α = 0.81), with the SYMP-6 subscale performing well (α = 0.81), though the FUNC-4 subscale showed lower reliability (α = 0.53). Exploratory factor analysis confirmed a two-factor structure aligning with the original subscales, although items 5 and 7 had cross-loadings and item 8 showed low communality. The mean total GSS scores were similar across better and worse eyes (≈87), with dryness and burning being the most bothersome symptoms. Convergent validity was supported by moderate to strong correlations with NEI-VFQ-25 subscales such as ocular pain, near vision, and mental health, while weak correlations were found with driving and general health. GSS scores were moderately negatively correlated with clinical indicators like visual acuity, mean deviation (MD), and glaucoma stage, especially in the better eye, while showing little to no correlation with trabeculectomy or number of medications. Rasch analysis revealed low person reliability (0.20) but high item reliability (separation index = 3.04), with most items fitting the Rasch model except item 8 and item 9, which showed misfit. Overall, the Urdu GSS demonstrated acceptable psychometric properties, supporting its use in clinical assessment of glaucoma symptoms in low literacy populations, though some items may require revision.</w:t>
      </w:r>
    </w:p>
    <w:p w14:paraId="158A0088" w14:textId="77777777" w:rsidR="0097024E" w:rsidRDefault="0097024E" w:rsidP="0097024E">
      <w:pPr>
        <w:spacing w:line="240" w:lineRule="auto"/>
        <w:jc w:val="both"/>
        <w:rPr>
          <w:rFonts w:ascii="Times New Roman" w:hAnsi="Times New Roman"/>
          <w:color w:val="000000"/>
          <w:sz w:val="20"/>
          <w:szCs w:val="20"/>
        </w:rPr>
      </w:pPr>
    </w:p>
    <w:p w14:paraId="6A4310D5"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1. Demographic and Clinical Compositions of Study Patients found in the Urdu Version of the Glaucoma Symptoms Scale Study (Low Literacy population)</w:t>
      </w:r>
    </w:p>
    <w:tbl>
      <w:tblPr>
        <w:tblW w:w="5000" w:type="pct"/>
        <w:tblLook w:val="04A0" w:firstRow="1" w:lastRow="0" w:firstColumn="1" w:lastColumn="0" w:noHBand="0" w:noVBand="1"/>
      </w:tblPr>
      <w:tblGrid>
        <w:gridCol w:w="8180"/>
        <w:gridCol w:w="2735"/>
      </w:tblGrid>
      <w:tr w:rsidR="0097024E" w14:paraId="35D1DB48" w14:textId="77777777" w:rsidTr="00F025E6">
        <w:trPr>
          <w:tblHeader/>
        </w:trPr>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E76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Variable</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A491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Sample</w:t>
            </w:r>
          </w:p>
        </w:tc>
      </w:tr>
      <w:tr w:rsidR="0097024E" w14:paraId="00DA91FE"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6255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Average age ± SD (years)</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409D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62.83 ± 13.60</w:t>
            </w:r>
          </w:p>
        </w:tc>
      </w:tr>
      <w:tr w:rsidR="0097024E" w14:paraId="16BAE993"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F6DA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Gender, n (%)</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F6CBA" w14:textId="77777777" w:rsidR="0097024E" w:rsidRDefault="0097024E" w:rsidP="009C354B">
            <w:pPr>
              <w:spacing w:line="240" w:lineRule="auto"/>
              <w:jc w:val="both"/>
              <w:rPr>
                <w:rFonts w:ascii="Times New Roman" w:hAnsi="Times New Roman"/>
                <w:color w:val="000000"/>
                <w:sz w:val="20"/>
                <w:szCs w:val="20"/>
              </w:rPr>
            </w:pPr>
          </w:p>
        </w:tc>
      </w:tr>
      <w:tr w:rsidR="0097024E" w14:paraId="7FFF8E9C"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F634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Female</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F669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113 (63.8)</w:t>
            </w:r>
          </w:p>
        </w:tc>
      </w:tr>
      <w:tr w:rsidR="0097024E" w14:paraId="003B96F8"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FC1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Male</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AF81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64 (36.2)</w:t>
            </w:r>
          </w:p>
        </w:tc>
      </w:tr>
      <w:tr w:rsidR="0097024E" w14:paraId="295A3394"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B661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Glaucoma type, n (%)</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72F9A" w14:textId="77777777" w:rsidR="0097024E" w:rsidRDefault="0097024E" w:rsidP="009C354B">
            <w:pPr>
              <w:spacing w:line="240" w:lineRule="auto"/>
              <w:jc w:val="both"/>
              <w:rPr>
                <w:rFonts w:ascii="Times New Roman" w:hAnsi="Times New Roman"/>
                <w:color w:val="000000"/>
                <w:sz w:val="20"/>
                <w:szCs w:val="20"/>
              </w:rPr>
            </w:pPr>
          </w:p>
        </w:tc>
      </w:tr>
      <w:tr w:rsidR="0097024E" w14:paraId="37D62929"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97D1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Primary open-angle glaucoma (POAG)</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0003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80 (45.2)</w:t>
            </w:r>
          </w:p>
        </w:tc>
      </w:tr>
      <w:tr w:rsidR="0097024E" w14:paraId="617FA664"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5CD2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Primary angle-closure glaucoma (PACG)</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D3BE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28 (15.8)</w:t>
            </w:r>
          </w:p>
        </w:tc>
      </w:tr>
      <w:tr w:rsidR="0097024E" w14:paraId="62C92F5C"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F413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Pseudoexfoliation glaucoma (PEX)</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6A51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28 (15.8)</w:t>
            </w:r>
          </w:p>
        </w:tc>
      </w:tr>
      <w:tr w:rsidR="0097024E" w14:paraId="1F900CEC"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AD6D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Pigmentary glaucoma (PG)</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161C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 (8.5)</w:t>
            </w:r>
          </w:p>
        </w:tc>
      </w:tr>
      <w:tr w:rsidR="0097024E" w14:paraId="0C0D957D" w14:textId="77777777" w:rsidTr="00F025E6">
        <w:tc>
          <w:tcPr>
            <w:tcW w:w="37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C6B1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Normal-tension glaucoma (NTG)</w:t>
            </w:r>
          </w:p>
        </w:tc>
        <w:tc>
          <w:tcPr>
            <w:tcW w:w="12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605E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26 (14.7)</w:t>
            </w:r>
          </w:p>
        </w:tc>
      </w:tr>
    </w:tbl>
    <w:p w14:paraId="002C87B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This table displays the population and medical attributes of the research subjects. The total cohort age mean and standard deviation were 62.831 and 13.601 respectively, which implies that the data represented a predominantly old population. The total sample consisted of 113 (63.8) females and 64 (36.2) males indicating a higher number of female subjects. With regard to classifying the types of glaucoma, POAG was the prevalent as it affected 80 subjects (45.2). This was followed by PACG and PEX each of which represented 28 subjects (15.8%). NTG was the most frequent being detected in 26 participants (14.7%), then followed by PG detected in 15 participants (8.5%).</w:t>
      </w:r>
    </w:p>
    <w:tbl>
      <w:tblPr>
        <w:tblW w:w="5000" w:type="pct"/>
        <w:tblLook w:val="04A0" w:firstRow="1" w:lastRow="0" w:firstColumn="1" w:lastColumn="0" w:noHBand="0" w:noVBand="1"/>
      </w:tblPr>
      <w:tblGrid>
        <w:gridCol w:w="4118"/>
        <w:gridCol w:w="3380"/>
        <w:gridCol w:w="3417"/>
      </w:tblGrid>
      <w:tr w:rsidR="0097024E" w14:paraId="18264FF9" w14:textId="77777777" w:rsidTr="00F025E6">
        <w:trPr>
          <w:tblHeader/>
        </w:trPr>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F773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Parameter</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E070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Better Eye (n, %, mean ± SD)</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04B5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Worse Eye (n, %, mean ± SD)</w:t>
            </w:r>
          </w:p>
        </w:tc>
      </w:tr>
      <w:tr w:rsidR="0097024E" w14:paraId="1A20C0AB"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6CC8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Visual acuity (logMAR)</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09B4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 ± 0.11</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0C20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0.68 ± 1.58</w:t>
            </w:r>
          </w:p>
        </w:tc>
      </w:tr>
      <w:tr w:rsidR="0097024E" w14:paraId="2E29399C"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C1B1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Visual field (dB)</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1953" w14:textId="77777777" w:rsidR="0097024E" w:rsidRDefault="0097024E" w:rsidP="009C354B">
            <w:pPr>
              <w:spacing w:line="240" w:lineRule="auto"/>
              <w:jc w:val="both"/>
              <w:rPr>
                <w:rFonts w:ascii="Times New Roman" w:hAnsi="Times New Roman"/>
                <w:color w:val="000000"/>
                <w:sz w:val="20"/>
                <w:szCs w:val="20"/>
              </w:rPr>
            </w:pP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4238" w14:textId="77777777" w:rsidR="0097024E" w:rsidRDefault="0097024E" w:rsidP="009C354B">
            <w:pPr>
              <w:spacing w:line="240" w:lineRule="auto"/>
              <w:jc w:val="both"/>
              <w:rPr>
                <w:rFonts w:ascii="Times New Roman" w:hAnsi="Times New Roman"/>
                <w:color w:val="000000"/>
                <w:sz w:val="20"/>
                <w:szCs w:val="20"/>
              </w:rPr>
            </w:pPr>
          </w:p>
        </w:tc>
      </w:tr>
      <w:tr w:rsidR="0097024E" w14:paraId="68E61214"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3D24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Mean deviation (MD)</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738B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2.38 ± 5.04</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7005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7.65 ± 9.37</w:t>
            </w:r>
          </w:p>
        </w:tc>
      </w:tr>
      <w:tr w:rsidR="0097024E" w14:paraId="459AD037"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073B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Short-term loss variance (sLV)</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4F7C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4.01 ± 3.05</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21FC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4.71 ± 3.08</w:t>
            </w:r>
          </w:p>
        </w:tc>
      </w:tr>
      <w:tr w:rsidR="0097024E" w14:paraId="4ED66FEB"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2B88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Glaucoma stage, n (%)</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DF81F" w14:textId="77777777" w:rsidR="0097024E" w:rsidRDefault="0097024E" w:rsidP="009C354B">
            <w:pPr>
              <w:spacing w:line="240" w:lineRule="auto"/>
              <w:jc w:val="both"/>
              <w:rPr>
                <w:rFonts w:ascii="Times New Roman" w:hAnsi="Times New Roman"/>
                <w:color w:val="000000"/>
                <w:sz w:val="20"/>
                <w:szCs w:val="20"/>
              </w:rPr>
            </w:pP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49860" w14:textId="77777777" w:rsidR="0097024E" w:rsidRDefault="0097024E" w:rsidP="009C354B">
            <w:pPr>
              <w:spacing w:line="240" w:lineRule="auto"/>
              <w:jc w:val="both"/>
              <w:rPr>
                <w:rFonts w:ascii="Times New Roman" w:hAnsi="Times New Roman"/>
                <w:color w:val="000000"/>
                <w:sz w:val="20"/>
                <w:szCs w:val="20"/>
              </w:rPr>
            </w:pPr>
          </w:p>
        </w:tc>
      </w:tr>
      <w:tr w:rsidR="0097024E" w14:paraId="3889617C"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06A6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Stage 0 – No/minimal defects</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FD28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40 (12.2)</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D6E3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19 (5.8)</w:t>
            </w:r>
          </w:p>
        </w:tc>
      </w:tr>
      <w:tr w:rsidR="0097024E" w14:paraId="1ACA2075"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DAC6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Stage 1 – Early defects</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C143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97 (29.7)</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0FE5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79 (24.2)</w:t>
            </w:r>
          </w:p>
        </w:tc>
      </w:tr>
      <w:tr w:rsidR="0097024E" w14:paraId="51E80E7D"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BDB9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Stage 2 – Moderate defects</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49E8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22 (6.7)</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1827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18 (5.5)</w:t>
            </w:r>
          </w:p>
        </w:tc>
      </w:tr>
      <w:tr w:rsidR="0097024E" w14:paraId="253D4D62"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0AEC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Stage 3 – Advanced defects</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DA1D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11 (3.4)</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6B2F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25 (7.6)</w:t>
            </w:r>
          </w:p>
        </w:tc>
      </w:tr>
      <w:tr w:rsidR="0097024E" w14:paraId="2737B90B"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E684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Stage 4 – Severe defects</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3C7D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 (2.1)</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708C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12 (3.7)</w:t>
            </w:r>
          </w:p>
        </w:tc>
      </w:tr>
      <w:tr w:rsidR="0097024E" w14:paraId="7C8F51B6"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2A84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Stage 5 – End-stage disease</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D5D2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 (0)</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B094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24 (7.3)</w:t>
            </w:r>
          </w:p>
        </w:tc>
      </w:tr>
      <w:tr w:rsidR="0097024E" w14:paraId="67B3FBEB"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EB56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Number of trabeculectomies, n (%)</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29EE9" w14:textId="77777777" w:rsidR="0097024E" w:rsidRDefault="0097024E" w:rsidP="009C354B">
            <w:pPr>
              <w:spacing w:line="240" w:lineRule="auto"/>
              <w:jc w:val="both"/>
              <w:rPr>
                <w:rFonts w:ascii="Times New Roman" w:hAnsi="Times New Roman"/>
                <w:color w:val="000000"/>
                <w:sz w:val="20"/>
                <w:szCs w:val="20"/>
              </w:rPr>
            </w:pP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75711" w14:textId="77777777" w:rsidR="0097024E" w:rsidRDefault="0097024E" w:rsidP="009C354B">
            <w:pPr>
              <w:spacing w:line="240" w:lineRule="auto"/>
              <w:jc w:val="both"/>
              <w:rPr>
                <w:rFonts w:ascii="Times New Roman" w:hAnsi="Times New Roman"/>
                <w:color w:val="000000"/>
                <w:sz w:val="20"/>
                <w:szCs w:val="20"/>
              </w:rPr>
            </w:pPr>
          </w:p>
        </w:tc>
      </w:tr>
      <w:tr w:rsidR="0097024E" w14:paraId="767B69BD"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450E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None</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12C7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158 (89.3)</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312F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141 (79.7)</w:t>
            </w:r>
          </w:p>
        </w:tc>
      </w:tr>
      <w:tr w:rsidR="0097024E" w14:paraId="1B814A5C"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479F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One</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7A76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19 (10.7)</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E474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29 (16.4)</w:t>
            </w:r>
          </w:p>
        </w:tc>
      </w:tr>
      <w:tr w:rsidR="0097024E" w14:paraId="46CD2271"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E5D8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  • Two</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7B1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 (0)</w:t>
            </w: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36B6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 (4.0)</w:t>
            </w:r>
          </w:p>
        </w:tc>
      </w:tr>
      <w:tr w:rsidR="0097024E" w14:paraId="5E4CC7A8" w14:textId="77777777" w:rsidTr="00F025E6">
        <w:tc>
          <w:tcPr>
            <w:tcW w:w="18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F2DD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Glaucoma</w:t>
            </w:r>
          </w:p>
        </w:tc>
        <w:tc>
          <w:tcPr>
            <w:tcW w:w="15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E039E" w14:textId="77777777" w:rsidR="0097024E" w:rsidRDefault="0097024E" w:rsidP="009C354B">
            <w:pPr>
              <w:spacing w:line="240" w:lineRule="auto"/>
              <w:jc w:val="both"/>
              <w:rPr>
                <w:rFonts w:ascii="Times New Roman" w:hAnsi="Times New Roman"/>
                <w:color w:val="000000"/>
                <w:sz w:val="20"/>
                <w:szCs w:val="20"/>
              </w:rPr>
            </w:pPr>
          </w:p>
        </w:tc>
        <w:tc>
          <w:tcPr>
            <w:tcW w:w="15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DA9EE" w14:textId="77777777" w:rsidR="0097024E" w:rsidRDefault="0097024E" w:rsidP="009C354B">
            <w:pPr>
              <w:spacing w:line="240" w:lineRule="auto"/>
              <w:jc w:val="both"/>
              <w:rPr>
                <w:rFonts w:ascii="Times New Roman" w:hAnsi="Times New Roman"/>
                <w:color w:val="000000"/>
                <w:sz w:val="20"/>
                <w:szCs w:val="20"/>
              </w:rPr>
            </w:pPr>
          </w:p>
        </w:tc>
      </w:tr>
    </w:tbl>
    <w:p w14:paraId="42945AB7"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table shows the clinical evidence between the best and the poor eyes of the patients with glaucoma. Visual acuity pro records of the better eye were 0.08 and the worse eye was significantly lower with the mean of 0.68: the better was 0.08 logMAR and the worse one was 0.68 logMAR. Visual field parameters include the following; mean deviation (MD) of 2.38 with system variance of 5.04 which is mildly field loss and worse eye had a higher loss with 7.65 with system variance of 9.37. Square root of the loss variance (sLV) was a little higher in the worse eye (4.71 +/-3.08 dba) than in the better eye (4.01 +/-3.05 dba) indicating more field variability in more affected eyes. Regarding the severity of glaucoma, early-stage glaucoma (stage 1) was the most prevalent ocular disease in both eyes with it being found in 29.7 better eyes and 24.2 worse eyes. It was interesting to note that there were 7.3 percent of worse eyes that were diagnosed to be in the end-stage disease (stage 5) and no better eyes were found in this stage.</w:t>
      </w:r>
    </w:p>
    <w:p w14:paraId="5068F16D"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Most eyes had not undergone trabeculectomy, with 89.3% of better eyes and 79.7% of worse eyes falling into this category. A single trabeculectomy had been performed in 10.7% of better eyes and 16.4% of worse eyes, while 4.0% of worse eyes had undergone two procedures. Regarding glaucoma medication use, three medications per day was the most frequent regimen, used in 37.3% of better eyes and 33.3% of worse eyes. A small number of eyes were not on any medication (3.4% better, 6.2% worse), and a minority used four medications daily (8.5% better, 7.3% worse). The number of daily eye drops followed a similar trend. Most commonly, patients used three drops per day (43.7% better eyes, 41.4% worse eyes), followed by those using one drop (27.0% better, 25.9% worse). Four or more drops were administered in 23.0% of better eyes and 14.2% of worse eyes. </w:t>
      </w:r>
    </w:p>
    <w:p w14:paraId="4E5DE113" w14:textId="77777777" w:rsidR="008A4F0C" w:rsidRDefault="008A4F0C" w:rsidP="0097024E">
      <w:pPr>
        <w:spacing w:line="240" w:lineRule="auto"/>
        <w:jc w:val="both"/>
        <w:rPr>
          <w:rFonts w:ascii="Times New Roman" w:hAnsi="Times New Roman"/>
          <w:color w:val="000000"/>
          <w:sz w:val="20"/>
          <w:szCs w:val="20"/>
        </w:rPr>
      </w:pPr>
    </w:p>
    <w:p w14:paraId="6502BF5B"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2. Average Scores on Glaucoma Symptom Scale (Urdu Version) According to Items and Subscales</w:t>
      </w:r>
    </w:p>
    <w:tbl>
      <w:tblPr>
        <w:tblW w:w="5000" w:type="pct"/>
        <w:tblLook w:val="04A0" w:firstRow="1" w:lastRow="0" w:firstColumn="1" w:lastColumn="0" w:noHBand="0" w:noVBand="1"/>
      </w:tblPr>
      <w:tblGrid>
        <w:gridCol w:w="2728"/>
        <w:gridCol w:w="2729"/>
        <w:gridCol w:w="2729"/>
        <w:gridCol w:w="2729"/>
      </w:tblGrid>
      <w:tr w:rsidR="0097024E" w14:paraId="6EFADA0A"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4015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GSS items</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3528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Better eye (n = 177)</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2A1B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Worse eye (n = 177)</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2058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Both eyes (n = 177)</w:t>
            </w:r>
          </w:p>
        </w:tc>
      </w:tr>
      <w:tr w:rsidR="0097024E" w14:paraId="58E09BA9"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BB54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Burning, Smarting, Stinging</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66A8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85.31 (26.97)</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212B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84.32 (27.40)</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5B7F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84.99 (25.11)</w:t>
            </w:r>
          </w:p>
        </w:tc>
      </w:tr>
      <w:tr w:rsidR="0097024E" w14:paraId="68DF20D0"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07D0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Tearing</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A7A0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87.99 (23.39)</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8F0C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87.43 (24.00)</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9FB0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87.70 (23.21)</w:t>
            </w:r>
          </w:p>
        </w:tc>
      </w:tr>
      <w:tr w:rsidR="0097024E" w14:paraId="574AAA1C"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AC86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Dryness</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95B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76.69 (29.98)</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9A0B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76.13 (30.01)</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63D4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76.41 (29.67)</w:t>
            </w:r>
          </w:p>
        </w:tc>
      </w:tr>
      <w:tr w:rsidR="0097024E" w14:paraId="139DD0AC"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CC6D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Itching</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4272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84.18 (25.36)</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FCEB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83.76 (25.44)</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A864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83.97 (24.92)</w:t>
            </w:r>
          </w:p>
        </w:tc>
      </w:tr>
      <w:tr w:rsidR="0097024E" w14:paraId="24000990"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B148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Soreness, Tiredness</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F41C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87.57 (24.30)</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C4F9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86.86 (25.57)</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6C9F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87.21 (24.46)</w:t>
            </w:r>
          </w:p>
        </w:tc>
      </w:tr>
      <w:tr w:rsidR="0097024E" w14:paraId="5C9DE0D3"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BAF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Blurry/Dim vision</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AB70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88.84 (22.75)</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D26B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87.01 (24.00)</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429A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87.64 (22.17)</w:t>
            </w:r>
          </w:p>
        </w:tc>
      </w:tr>
      <w:tr w:rsidR="0097024E" w14:paraId="529A9FE6"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6E89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Feeling of something in your eye</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62FA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90.11 (23.26)</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E7C4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89.83 (24.03)</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341A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90.19 (22.21)</w:t>
            </w:r>
          </w:p>
        </w:tc>
      </w:tr>
      <w:tr w:rsidR="0097024E" w14:paraId="6A439469"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51A8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Hard to see in daylight</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7EDC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94.77 (16.98)</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90C3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94.63 (17.46)</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63A3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94.71 (16.67)</w:t>
            </w:r>
          </w:p>
        </w:tc>
      </w:tr>
      <w:tr w:rsidR="0097024E" w14:paraId="1F6980B8"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170D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Hard to see in dark places</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2A2C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87.01 (23.85)</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B686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86.72 (23.69)</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06B8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86.86 (23.32)</w:t>
            </w:r>
          </w:p>
        </w:tc>
      </w:tr>
      <w:tr w:rsidR="0097024E" w14:paraId="73731927"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BDD8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Halos around lights</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F2CE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95.48 (15.56)</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9438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95.62 (15.49)</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FC84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95.55 (15.50)</w:t>
            </w:r>
          </w:p>
        </w:tc>
      </w:tr>
    </w:tbl>
    <w:p w14:paraId="2198EF1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This table displays the mean scores and standard deviations for each item of the Glaucoma Symptom Scale (GSS), evaluated separately for the better eye, worse eye, and both eyes in a sample of 67 patients. On the whole, the respondents scored out high on the majority of the items, which has shown relatively mild symptom burden. The item in which the highest scores were found was "Halos around lights," where the mean score of the better eye (95.48) and the worse one (95.62) and both eyes (95.55) were the highest, which indicates this was the least troubling symptom.</w:t>
      </w:r>
    </w:p>
    <w:p w14:paraId="0319445D"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On the same note, Hard to see in daylight always recorded high scores with better eye (94.77), worse eye (94.63) and both eyes (94.71). Other entries like the feeling of something in your eye and; Blurry/Dim vision also rated high average of more than 87.</w:t>
      </w:r>
    </w:p>
    <w:p w14:paraId="7B6052B0"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On the other hand, the smallest scores were observed in Dryness, mean 76.69 in better eye, 76.13 in worse eye, and 76.41 in both eyes, so it was one of the more common items brought up or troubling. There were also slightly lower scores in the bad eye (84.32) in "Burning, Smarting, Stinging," and with the better eye (80.57), the same also showed similar scores (81.05). Comprehensively, the symptom ratings did not differ between the better and worse eye such that the better eye seemed to be experiencing negative glaucoma-related symptoms and paying less attention to visual aspects as compared to that experienced by the worse eye.</w:t>
      </w:r>
    </w:p>
    <w:p w14:paraId="39511EE7"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GSS Subscales</w:t>
      </w:r>
    </w:p>
    <w:tbl>
      <w:tblPr>
        <w:tblW w:w="5000" w:type="pct"/>
        <w:tblLook w:val="04A0" w:firstRow="1" w:lastRow="0" w:firstColumn="1" w:lastColumn="0" w:noHBand="0" w:noVBand="1"/>
      </w:tblPr>
      <w:tblGrid>
        <w:gridCol w:w="2728"/>
        <w:gridCol w:w="2729"/>
        <w:gridCol w:w="2729"/>
        <w:gridCol w:w="2729"/>
      </w:tblGrid>
      <w:tr w:rsidR="0097024E" w14:paraId="346E4E6E"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B632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GSS subscales</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7A3D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Better eye (n = 67)</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52C7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Worse eye (n = 67)</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7EEB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Both eyes (n = 67)</w:t>
            </w:r>
          </w:p>
        </w:tc>
      </w:tr>
      <w:tr w:rsidR="0097024E" w14:paraId="49ED287A"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3AB4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SYMP-6</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E8A0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85.57 (17.81)</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2E49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84.79 (18.88)</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88D2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85.08 (17.93)</w:t>
            </w:r>
          </w:p>
        </w:tc>
      </w:tr>
      <w:tr w:rsidR="0097024E" w14:paraId="0F375873"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6B97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FUNC-4</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51E3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91.49 (12.65)</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3CDC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90.83 (13.45)</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97FC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91.19 (12.65)</w:t>
            </w:r>
          </w:p>
        </w:tc>
      </w:tr>
      <w:tr w:rsidR="0097024E" w14:paraId="6281B3AD" w14:textId="77777777" w:rsidTr="00F025E6">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8E9E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GSS score</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115C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87.94 (13.93)</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C961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87.29 (14.95)</w:t>
            </w:r>
          </w:p>
        </w:tc>
        <w:tc>
          <w:tcPr>
            <w:tcW w:w="1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67EF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87.52 (14.04)</w:t>
            </w:r>
          </w:p>
        </w:tc>
      </w:tr>
    </w:tbl>
    <w:p w14:paraId="24D6EDE8"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mean scores and standard deviations of those scores are provided in this table of SYMP-6 subscale, FUNC-4 subscale and overall GSS in single eye and in both eyes in a sample size of 67 glaucoma patients. The SYMP-6 subscale that deals with ocular discomfort and symptoms associated with the surface had mean scores of 85.57 with the better eye, 84.79 with the worse eye, and 85.08 in both eyes. The fact that these values are relatively high means that the overall discomfort reported by the participants was low.</w:t>
      </w:r>
    </w:p>
    <w:p w14:paraId="6471B2FF"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subscale of the FUNC-4 which measures functional visual impairment reported even higher means: better eye- 91.49, worse eye- 90.83 and both eyes- 91.19. This implies that the patients had few challenges in visual activities in their lives. The total GSS score, which represents the overall symptom burden, was also relatively high, with mean scores of 87.94 for the better eye, 87.29 for the worse eye, and 87.52 for both eyes. These values suggest that, overall, the sample reported mild to moderate glaucoma symptoms with limited impact on visual function. There was minimal difference between the better and worse eyes across all subscales, indicating that patients' symptom perceptions were similar for both eyes.</w:t>
      </w:r>
    </w:p>
    <w:p w14:paraId="7E25C05D" w14:textId="77777777" w:rsidR="008A4F0C" w:rsidRDefault="008A4F0C" w:rsidP="0097024E">
      <w:pPr>
        <w:spacing w:line="240" w:lineRule="auto"/>
        <w:jc w:val="both"/>
        <w:rPr>
          <w:rFonts w:ascii="Times New Roman" w:hAnsi="Times New Roman"/>
          <w:color w:val="000000"/>
          <w:sz w:val="20"/>
          <w:szCs w:val="20"/>
        </w:rPr>
      </w:pPr>
    </w:p>
    <w:p w14:paraId="314F773A" w14:textId="0951AC18" w:rsidR="0097024E" w:rsidRDefault="0097024E" w:rsidP="008A4F0C">
      <w:pPr>
        <w:spacing w:line="240" w:lineRule="auto"/>
        <w:jc w:val="both"/>
        <w:rPr>
          <w:rFonts w:ascii="Times New Roman" w:hAnsi="Times New Roman"/>
          <w:color w:val="000000"/>
          <w:sz w:val="20"/>
          <w:szCs w:val="20"/>
        </w:rPr>
      </w:pPr>
      <w:r>
        <w:rPr>
          <w:rFonts w:ascii="Times New Roman" w:hAnsi="Times New Roman"/>
          <w:color w:val="000000"/>
          <w:sz w:val="20"/>
          <w:szCs w:val="20"/>
        </w:rPr>
        <w:t>Table 3. Cronbach’s Alpha, ICC, and Corrected Item-Total Correlation Coefficients for Urdu Version of the Glaucoma Symptoms Scale (Both Eyes)</w:t>
      </w:r>
    </w:p>
    <w:tbl>
      <w:tblPr>
        <w:tblW w:w="5000" w:type="pct"/>
        <w:tblLook w:val="04A0" w:firstRow="1" w:lastRow="0" w:firstColumn="1" w:lastColumn="0" w:noHBand="0" w:noVBand="1"/>
      </w:tblPr>
      <w:tblGrid>
        <w:gridCol w:w="2783"/>
        <w:gridCol w:w="1932"/>
        <w:gridCol w:w="3133"/>
        <w:gridCol w:w="3067"/>
      </w:tblGrid>
      <w:tr w:rsidR="0097024E" w14:paraId="222A4BEC" w14:textId="77777777" w:rsidTr="00F025E6">
        <w:trPr>
          <w:tblHeader/>
        </w:trPr>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DCC3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GSS Item / Subscale</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FC27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Cronbach’s Alpha</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3B4A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Cronbach’s Alpha (if Item Deleted)</w:t>
            </w: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5722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Corrected Item–Total Correlation</w:t>
            </w:r>
          </w:p>
        </w:tc>
      </w:tr>
      <w:tr w:rsidR="0097024E" w14:paraId="406EADA9"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F54D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SYMP-6</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7314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0.81</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A0A7E"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1693A" w14:textId="77777777" w:rsidR="0097024E" w:rsidRDefault="0097024E" w:rsidP="009C354B">
            <w:pPr>
              <w:spacing w:line="240" w:lineRule="auto"/>
              <w:jc w:val="both"/>
              <w:rPr>
                <w:rFonts w:ascii="Times New Roman" w:hAnsi="Times New Roman"/>
                <w:color w:val="000000"/>
                <w:sz w:val="20"/>
                <w:szCs w:val="20"/>
              </w:rPr>
            </w:pPr>
          </w:p>
        </w:tc>
      </w:tr>
      <w:tr w:rsidR="0097024E" w14:paraId="78AC7E68"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9133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Burning, smarting, or stinging</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24719" w14:textId="77777777" w:rsidR="0097024E" w:rsidRDefault="0097024E" w:rsidP="009C354B">
            <w:pPr>
              <w:spacing w:line="240" w:lineRule="auto"/>
              <w:jc w:val="both"/>
              <w:rPr>
                <w:rFonts w:ascii="Times New Roman" w:hAnsi="Times New Roman"/>
                <w:color w:val="000000"/>
                <w:sz w:val="20"/>
                <w:szCs w:val="20"/>
              </w:rPr>
            </w:pP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E4D2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0.77</w:t>
            </w: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24DB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0.65</w:t>
            </w:r>
          </w:p>
        </w:tc>
      </w:tr>
      <w:tr w:rsidR="0097024E" w14:paraId="0F66DB25"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A519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Tearing</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8163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0.78</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852EF"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25B5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0.58</w:t>
            </w:r>
          </w:p>
        </w:tc>
      </w:tr>
      <w:tr w:rsidR="0097024E" w14:paraId="63C170C7"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1D94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Dryness</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A8564" w14:textId="77777777" w:rsidR="0097024E" w:rsidRDefault="0097024E" w:rsidP="009C354B">
            <w:pPr>
              <w:spacing w:line="240" w:lineRule="auto"/>
              <w:jc w:val="both"/>
              <w:rPr>
                <w:rFonts w:ascii="Times New Roman" w:hAnsi="Times New Roman"/>
                <w:color w:val="000000"/>
                <w:sz w:val="20"/>
                <w:szCs w:val="20"/>
              </w:rPr>
            </w:pP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C112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0.78</w:t>
            </w: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A545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0.57</w:t>
            </w:r>
          </w:p>
        </w:tc>
      </w:tr>
      <w:tr w:rsidR="0097024E" w14:paraId="3AC5118B"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07BD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Itching</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B3F5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0.80</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8F551"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81E0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0.47</w:t>
            </w:r>
          </w:p>
        </w:tc>
      </w:tr>
      <w:tr w:rsidR="0097024E" w14:paraId="20F45E61"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EC5E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Eye soreness or tiredness</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B28E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0.79</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CF4AB"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31A4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0.51</w:t>
            </w:r>
          </w:p>
        </w:tc>
      </w:tr>
      <w:tr w:rsidR="0097024E" w14:paraId="03B3CD72"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56C6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Foreign body sensation</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BA778" w14:textId="77777777" w:rsidR="0097024E" w:rsidRDefault="0097024E" w:rsidP="009C354B">
            <w:pPr>
              <w:spacing w:line="240" w:lineRule="auto"/>
              <w:jc w:val="both"/>
              <w:rPr>
                <w:rFonts w:ascii="Times New Roman" w:hAnsi="Times New Roman"/>
                <w:color w:val="000000"/>
                <w:sz w:val="20"/>
                <w:szCs w:val="20"/>
              </w:rPr>
            </w:pP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4857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0.78</w:t>
            </w: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08B7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0.61</w:t>
            </w:r>
          </w:p>
        </w:tc>
      </w:tr>
      <w:tr w:rsidR="0097024E" w14:paraId="4BF7998A"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D472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FUNC-4</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ED07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0.53</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F913D"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39352" w14:textId="77777777" w:rsidR="0097024E" w:rsidRDefault="0097024E" w:rsidP="009C354B">
            <w:pPr>
              <w:spacing w:line="240" w:lineRule="auto"/>
              <w:jc w:val="both"/>
              <w:rPr>
                <w:rFonts w:ascii="Times New Roman" w:hAnsi="Times New Roman"/>
                <w:color w:val="000000"/>
                <w:sz w:val="20"/>
                <w:szCs w:val="20"/>
              </w:rPr>
            </w:pPr>
          </w:p>
        </w:tc>
      </w:tr>
      <w:tr w:rsidR="0097024E" w14:paraId="5D418A70"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A1A6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Blurry or dim vision</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49288" w14:textId="77777777" w:rsidR="0097024E" w:rsidRDefault="0097024E" w:rsidP="009C354B">
            <w:pPr>
              <w:spacing w:line="240" w:lineRule="auto"/>
              <w:jc w:val="both"/>
              <w:rPr>
                <w:rFonts w:ascii="Times New Roman" w:hAnsi="Times New Roman"/>
                <w:color w:val="000000"/>
                <w:sz w:val="20"/>
                <w:szCs w:val="20"/>
              </w:rPr>
            </w:pP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6111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0.80</w:t>
            </w: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AAD9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0.46</w:t>
            </w:r>
          </w:p>
        </w:tc>
      </w:tr>
      <w:tr w:rsidR="0097024E" w14:paraId="5D49E9D5"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8C0B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Difficulty seeing in daylight</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5A74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0.81</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06D72"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3900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0.29</w:t>
            </w:r>
          </w:p>
        </w:tc>
      </w:tr>
      <w:tr w:rsidR="0097024E" w14:paraId="2B6336A9"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C898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Difficulty seeing in dark places</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541F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0.81</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03124"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A037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0.33</w:t>
            </w:r>
          </w:p>
        </w:tc>
      </w:tr>
      <w:tr w:rsidR="0097024E" w14:paraId="3A7C281D"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4A9D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Perception of halos around lights</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3882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0.81</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AEFC0"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C595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0.38</w:t>
            </w:r>
          </w:p>
        </w:tc>
      </w:tr>
      <w:tr w:rsidR="0097024E" w14:paraId="1C01EFFB" w14:textId="77777777" w:rsidTr="00F025E6">
        <w:tc>
          <w:tcPr>
            <w:tcW w:w="12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BA6C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GSS score</w:t>
            </w:r>
          </w:p>
        </w:tc>
        <w:tc>
          <w:tcPr>
            <w:tcW w:w="8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A185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0.81</w:t>
            </w:r>
          </w:p>
        </w:tc>
        <w:tc>
          <w:tcPr>
            <w:tcW w:w="14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427E8" w14:textId="77777777" w:rsidR="0097024E" w:rsidRDefault="0097024E" w:rsidP="009C354B">
            <w:pPr>
              <w:spacing w:line="240" w:lineRule="auto"/>
              <w:jc w:val="both"/>
              <w:rPr>
                <w:rFonts w:ascii="Times New Roman" w:hAnsi="Times New Roman"/>
                <w:color w:val="000000"/>
                <w:sz w:val="20"/>
                <w:szCs w:val="20"/>
              </w:rPr>
            </w:pPr>
          </w:p>
        </w:tc>
        <w:tc>
          <w:tcPr>
            <w:tcW w:w="1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BBD82" w14:textId="77777777" w:rsidR="0097024E" w:rsidRDefault="0097024E" w:rsidP="009C354B">
            <w:pPr>
              <w:spacing w:line="240" w:lineRule="auto"/>
              <w:jc w:val="both"/>
              <w:rPr>
                <w:rFonts w:ascii="Times New Roman" w:hAnsi="Times New Roman"/>
                <w:color w:val="000000"/>
                <w:sz w:val="20"/>
                <w:szCs w:val="20"/>
              </w:rPr>
            </w:pPr>
          </w:p>
        </w:tc>
      </w:tr>
    </w:tbl>
    <w:p w14:paraId="11603C2A"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table reports Cronbach’s alpha values, item-total correlations, and the effect on internal consistency if individual items were deleted, to evaluate the internal reliability of the Glaucoma Symptom Scale (GSS) in a sample of 67 patients.</w:t>
      </w:r>
    </w:p>
    <w:p w14:paraId="33F0D1C7"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subscale SYMP-6 that has six questions concerned with problems of ocular discomfort had an acceptable internal consistency of 0.81. The corrected item-total relation (CI-TC) ranged between 0.47 and 0.65 with the greater value being 0.65 and the small value 0.47 and it was for the items of Burning, Smarting, Stinging and itching respectively. The removal of any particular item did not lead to much better alpha value reaching near or barely below 0.81 which ensures that each of the items is important to the scale.</w:t>
      </w:r>
    </w:p>
    <w:p w14:paraId="38AC93D0"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FUNC-4 subscale, assessing functional visual difficulties, showed poor internal consistency, with a Cronbach’s alpha of 0.53. Item-total correlations ranged from 0.29 to 0.46, with the lowest correlation observed for "Hard to See in Daylight" (0.29) and the highest for "Blurry/Dim Vision" (0.46). If any individual item from this subscale were removed, the Cronbach’s alpha slightly increased to 0.80–0.81, suggesting that the items are not highly interrelated and may be measuring somewhat distinct constructs. For the total GSS score, combining all ten items, the Cronbach’s alpha was 0.81, indicating good overall internal consistency of the full scale. This sample evidence has satisfactory internal reliability with SYMP-6 subscale and total GSS score and has poor internal consistency with FUNC-4 subscale and should be interpreted with caution or improve.</w:t>
      </w:r>
    </w:p>
    <w:p w14:paraId="12EE4F28" w14:textId="77777777" w:rsidR="008A4F0C" w:rsidRDefault="008A4F0C" w:rsidP="0097024E">
      <w:pPr>
        <w:spacing w:line="240" w:lineRule="auto"/>
        <w:jc w:val="both"/>
        <w:rPr>
          <w:rFonts w:ascii="Times New Roman" w:hAnsi="Times New Roman"/>
          <w:color w:val="000000"/>
          <w:sz w:val="20"/>
          <w:szCs w:val="20"/>
        </w:rPr>
      </w:pPr>
    </w:p>
    <w:p w14:paraId="4FAF6834"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4: Exploratory Factor Analysis of the Glaucoma Symptom Scale (GSS) for Both Eyes (n = 67)</w:t>
      </w:r>
    </w:p>
    <w:tbl>
      <w:tblPr>
        <w:tblW w:w="5000" w:type="pct"/>
        <w:tblLook w:val="04A0" w:firstRow="1" w:lastRow="0" w:firstColumn="1" w:lastColumn="0" w:noHBand="0" w:noVBand="1"/>
      </w:tblPr>
      <w:tblGrid>
        <w:gridCol w:w="3970"/>
        <w:gridCol w:w="2474"/>
        <w:gridCol w:w="2458"/>
        <w:gridCol w:w="2013"/>
      </w:tblGrid>
      <w:tr w:rsidR="0097024E" w14:paraId="75025199" w14:textId="77777777" w:rsidTr="00F025E6">
        <w:trPr>
          <w:tblHeader/>
        </w:trPr>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D845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GSS Symptom/Item</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A8AD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Factor 1 (SYMP-6)</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E464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Factor 2 (FUNC-4)</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A232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Communalities</w:t>
            </w:r>
          </w:p>
        </w:tc>
      </w:tr>
      <w:tr w:rsidR="0097024E" w14:paraId="6BFBC7D4"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145A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Burning, smarting, or stinging</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A073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0.727</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4747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0.282</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4FA1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0.608</w:t>
            </w:r>
          </w:p>
        </w:tc>
      </w:tr>
      <w:tr w:rsidR="0097024E" w14:paraId="45F7F5E2"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E110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Tearing</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0A4B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0.742</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CED6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0.183</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B92B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0.584</w:t>
            </w:r>
          </w:p>
        </w:tc>
      </w:tr>
      <w:tr w:rsidR="0097024E" w14:paraId="0ED114D9"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0A7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Dryness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8E5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0.720</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EB87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0.184</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7714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0.552</w:t>
            </w:r>
          </w:p>
        </w:tc>
      </w:tr>
      <w:tr w:rsidR="0097024E" w14:paraId="3F516C22"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985D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Itching</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FC3F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0.744</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D020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-0.180</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32AE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0.553</w:t>
            </w:r>
          </w:p>
        </w:tc>
      </w:tr>
      <w:tr w:rsidR="0097024E" w14:paraId="0674A28A"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E1F2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Eye soreness or tiredness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D197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0.422</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6DA5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0.500</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271C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0.427</w:t>
            </w:r>
          </w:p>
        </w:tc>
      </w:tr>
      <w:tr w:rsidR="0097024E" w14:paraId="3DE24EEA"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C2C2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Foreign body sensation</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77BF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0.626</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C50E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0.382</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7BBF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0.538</w:t>
            </w:r>
          </w:p>
        </w:tc>
      </w:tr>
      <w:tr w:rsidR="0097024E" w14:paraId="06823518"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A479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Blurred or dim vision</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9565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0.252</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1B2A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0.668</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E835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0.510</w:t>
            </w:r>
          </w:p>
        </w:tc>
      </w:tr>
      <w:tr w:rsidR="0097024E" w14:paraId="2CF0BF3A"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B971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Difficulty seeing in daylight</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FF7C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0.279</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0ECB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0.264</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5685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0.147</w:t>
            </w:r>
          </w:p>
        </w:tc>
      </w:tr>
      <w:tr w:rsidR="0097024E" w14:paraId="590364D8"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4E3F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Difficulty seeing in dark places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9868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0.003</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A5A5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0.745</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93E2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0.555</w:t>
            </w:r>
          </w:p>
        </w:tc>
      </w:tr>
      <w:tr w:rsidR="0097024E" w14:paraId="74BA9C36"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08F2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Perception of halos around lights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0BF7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0.151</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DC1B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0.628</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E98D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0.417</w:t>
            </w:r>
          </w:p>
        </w:tc>
      </w:tr>
    </w:tbl>
    <w:p w14:paraId="3607CC96"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Table presents the factor loadings and communalities for the 10 items of the Glaucoma Symptom Scale (GSS) derived from exploratory factor analysis using a two-factor solution. Factor 1 ( SYMP-6) is a symptom of ocular discomfort, and Factor 2 ( FUNC-4 ) is some symptom of visual functional disabilities. Other items (Burning, Smarting, Stinging, Tearing, Dryness, Itching) loaded high on Factor 1, meaning the high level of confidence to be associated with symptomatic discomfort. On the other hand, such items as "Blurry/Dim Vision" as well as "Hard to See in Dark Places" and "Halos Around Lights" had high loading on Factor 2, which is in line with visual impairment of functions. Item 5 (“Soreness, Tiredness”) and Item 7 (“Feeling of Something in Your Eye”) showed cross-loadings on both factors. Item 8 (“Hard to See in Daylight”) exhibited low loadings and the lowest communality (0.147), suggesting weak contribution to the factor structure. Overall, the two-factor model adequately accounted for most items with communalities ranging from 0.417 to 0.608, supporting the construct validity of the scale in this sample. </w:t>
      </w:r>
    </w:p>
    <w:p w14:paraId="77173F5C" w14:textId="77777777" w:rsidR="008A4F0C" w:rsidRDefault="008A4F0C" w:rsidP="0097024E">
      <w:pPr>
        <w:spacing w:line="240" w:lineRule="auto"/>
        <w:jc w:val="both"/>
        <w:rPr>
          <w:rFonts w:ascii="Times New Roman" w:hAnsi="Times New Roman"/>
          <w:color w:val="000000"/>
          <w:sz w:val="20"/>
          <w:szCs w:val="20"/>
        </w:rPr>
      </w:pPr>
    </w:p>
    <w:p w14:paraId="644071D4"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5: Glaucoma Symptom Scale (GSS) subscale and Total Scores for either eye and both eyes (n = 67) versus NEI-VFQ-25 Subscales</w:t>
      </w:r>
    </w:p>
    <w:tbl>
      <w:tblPr>
        <w:tblW w:w="5000" w:type="pct"/>
        <w:tblLook w:val="04A0" w:firstRow="1" w:lastRow="0" w:firstColumn="1" w:lastColumn="0" w:noHBand="0" w:noVBand="1"/>
      </w:tblPr>
      <w:tblGrid>
        <w:gridCol w:w="3970"/>
        <w:gridCol w:w="2474"/>
        <w:gridCol w:w="2458"/>
        <w:gridCol w:w="2013"/>
      </w:tblGrid>
      <w:tr w:rsidR="0097024E" w14:paraId="164599E7" w14:textId="77777777" w:rsidTr="00F025E6">
        <w:trPr>
          <w:tblHeader/>
        </w:trPr>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BBBF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GSS Symptom/Item</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6C66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Factor 1 (SYMP-6)</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7195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Factor 2 (FUNC-4)</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30A7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Communalities</w:t>
            </w:r>
          </w:p>
        </w:tc>
      </w:tr>
      <w:tr w:rsidR="0097024E" w14:paraId="739343BA"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DF38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Burning, smarting, or stinging</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38BB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0.727</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4660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0.282</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B770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0.608</w:t>
            </w:r>
          </w:p>
        </w:tc>
      </w:tr>
      <w:tr w:rsidR="0097024E" w14:paraId="14412D28"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A292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Tearing</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8F33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0.742</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7542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0.183</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5426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0.584</w:t>
            </w:r>
          </w:p>
        </w:tc>
      </w:tr>
      <w:tr w:rsidR="0097024E" w14:paraId="163097B6"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E12C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Dryness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40FF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0.720</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4B01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0.184</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397B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0.552</w:t>
            </w:r>
          </w:p>
        </w:tc>
      </w:tr>
      <w:tr w:rsidR="0097024E" w14:paraId="00A9422B"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8CC2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Itching</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BD70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0.744</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42EC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-0.180</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2A9C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0.553</w:t>
            </w:r>
          </w:p>
        </w:tc>
      </w:tr>
      <w:tr w:rsidR="0097024E" w14:paraId="55328BC4"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C288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Eye soreness or tiredness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C037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0.422</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D964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0.500</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A84B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0.427</w:t>
            </w:r>
          </w:p>
        </w:tc>
      </w:tr>
      <w:tr w:rsidR="0097024E" w14:paraId="7FA24237"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8C0E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Foreign body sensation</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C806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0.626</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6FB9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0.382</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F63B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0.538</w:t>
            </w:r>
          </w:p>
        </w:tc>
      </w:tr>
      <w:tr w:rsidR="0097024E" w14:paraId="2D4FFA26"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3422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Blurred or dim vision</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D838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0.252</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C603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0.668</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4B77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0.510</w:t>
            </w:r>
          </w:p>
        </w:tc>
      </w:tr>
      <w:tr w:rsidR="0097024E" w14:paraId="569FBAA3"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C3F1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Difficulty seeing in daylight</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C896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0.279</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F212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0.264</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8E4D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0.147</w:t>
            </w:r>
          </w:p>
        </w:tc>
      </w:tr>
      <w:tr w:rsidR="0097024E" w14:paraId="41DA7E1F"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7D15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Difficulty seeing in dark places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6AD1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0.003</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AB42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0.745</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D23F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0.555</w:t>
            </w:r>
          </w:p>
        </w:tc>
      </w:tr>
      <w:tr w:rsidR="0097024E" w14:paraId="0BCB2F54" w14:textId="77777777" w:rsidTr="00F025E6">
        <w:tc>
          <w:tcPr>
            <w:tcW w:w="18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5439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Perception of halos around lights</w:t>
            </w:r>
          </w:p>
        </w:tc>
        <w:tc>
          <w:tcPr>
            <w:tcW w:w="11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F4AB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0.151</w:t>
            </w:r>
          </w:p>
        </w:tc>
        <w:tc>
          <w:tcPr>
            <w:tcW w:w="11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1BAA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0.628</w:t>
            </w:r>
          </w:p>
        </w:tc>
        <w:tc>
          <w:tcPr>
            <w:tcW w:w="9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160C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0.417</w:t>
            </w:r>
          </w:p>
        </w:tc>
      </w:tr>
    </w:tbl>
    <w:p w14:paraId="0CE36C5B"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Spearman correlation coefficients (rho, p) and p-values between the subscales and the total scores of the Glaucoma Symptom Scale (GSS) and the NEI-VFQ-25 based on three scoring methods better eye (BE), worse eye (WE) total RE+LE were presented in this table. The GSS is divided into two subscales—SYMP-6 (symptom items) and FUNC-4 (functional items)—along with a total score. The Total NEI-VFQ-25 score showed the strongest and most statistically significant correlations with all GSS scores across the three conditions (ρ = 0.402–0.454, p &lt; 0.001), supporting strong convergent validity. Among NEI-VFQ subscales, Ocular Pain showed the highest correlation with GSS (ρ = 0.450–0.517, p &lt; 0.001), particularly with SYMP-6. Moderate correlations were also found with Mental Health, Role Limitation, Near Vision, and Distant Vision subscales (ρ = 0.236–0.383, p &lt; 0.001), especially in the worse and both eye conditions.</w:t>
      </w:r>
    </w:p>
    <w:p w14:paraId="0BC09370"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Weaker or non-significant correlations were observed between GSS scores and subscales such as Dependency, Driving Difficulty, and Peripheral Vision, with p-values above 0.05 in several cases. Notably, General Health showed weak to low-moderate correlations with GSS (ρ = 0.109–0.184), reaching statistical significance only in the worse and both eye comparisons. Overall, the data indicate that the GSS has moderate to strong associations with relevant NEI-VFQ-25 domains, particularly those related to ocular discomfort and functional vision, supporting its convergent validity in this population.</w:t>
      </w:r>
    </w:p>
    <w:p w14:paraId="17909DDC" w14:textId="77777777" w:rsidR="008A4F0C" w:rsidRDefault="008A4F0C" w:rsidP="0097024E">
      <w:pPr>
        <w:spacing w:line="240" w:lineRule="auto"/>
        <w:jc w:val="both"/>
        <w:rPr>
          <w:rFonts w:ascii="Times New Roman" w:hAnsi="Times New Roman"/>
          <w:color w:val="000000"/>
          <w:sz w:val="20"/>
          <w:szCs w:val="20"/>
        </w:rPr>
      </w:pPr>
    </w:p>
    <w:p w14:paraId="5DE9E2C8" w14:textId="51E69FE3"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6. The relation of Glaucoma symptom scale subscales and total score to each of the eyes and both eyes on clinical characteristics of patients.</w:t>
      </w:r>
    </w:p>
    <w:tbl>
      <w:tblPr>
        <w:tblW w:w="5000" w:type="pct"/>
        <w:tblLook w:val="04A0" w:firstRow="1" w:lastRow="0" w:firstColumn="1" w:lastColumn="0" w:noHBand="0" w:noVBand="1"/>
      </w:tblPr>
      <w:tblGrid>
        <w:gridCol w:w="1372"/>
        <w:gridCol w:w="1058"/>
        <w:gridCol w:w="1059"/>
        <w:gridCol w:w="1059"/>
        <w:gridCol w:w="1059"/>
        <w:gridCol w:w="1059"/>
        <w:gridCol w:w="1059"/>
        <w:gridCol w:w="1059"/>
        <w:gridCol w:w="1059"/>
        <w:gridCol w:w="1072"/>
      </w:tblGrid>
      <w:tr w:rsidR="0097024E" w14:paraId="24D6E7E0" w14:textId="77777777" w:rsidTr="00F025E6">
        <w:trPr>
          <w:tblHeader/>
        </w:trPr>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E07D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Parameter</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FC69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Symp6 BE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2F9C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Funct4 BE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44BF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GSS BE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2F6F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Symp6 WE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8DFB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Funct4 WE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B004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GSS WE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5FE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Symp6 RE+LE ρ</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35CD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Funct4 RE+LE ρ</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E448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GSS RE+LE ρ</w:t>
            </w:r>
          </w:p>
        </w:tc>
      </w:tr>
      <w:tr w:rsidR="0097024E" w14:paraId="2AF4248B"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A3C2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 Visual Acuity</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1FAA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-0.127 (p=0.093)</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9E71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-0.132 (p=0.079)</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3DC1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-0.112 (p=0.138)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00E3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-0.172 (p=0.022)</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D367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-0.201 (p=0.007)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004D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-0.156 (p=0.038)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79FF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-0.164 (p=0.029)</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0FFC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-0.170 (p=0.023)</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24E5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-0.155 (p=0.039)</w:t>
            </w:r>
          </w:p>
        </w:tc>
      </w:tr>
      <w:tr w:rsidR="0097024E" w14:paraId="617068BB"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AB72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WE Visual Acuity</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1E22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-0.093 (p=0.218)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EFEC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-0.219 (p=0.003)</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068F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-0.148 (p=0.049)</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6A0D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-0.153 (p=0.042)</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465C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-0.253 (p=0.001)</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0E32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-0.215 (p=0.004)</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7059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-0.137 (p=0.069)</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D609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-0.238 (p=0.001)</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E932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-0.191 (p=0.011)</w:t>
            </w:r>
          </w:p>
        </w:tc>
      </w:tr>
      <w:tr w:rsidR="0097024E" w14:paraId="721ACB90"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EA9C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 Mean Deviation (MD)</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4D38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-0.149 (p=0.048)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2878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-0.194 (p=0.010)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712F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-0.199 (p=0.008)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ECF3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-0.109 (p=0.150)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144A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-0.203 (p=0.007)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2BCC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-0.169 (p=0.025)</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165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-0.136 (p=0.070)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545B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-0.222 (p=0.003)</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0BA6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-0.198 (p=0.008)</w:t>
            </w:r>
          </w:p>
        </w:tc>
      </w:tr>
      <w:tr w:rsidR="0097024E" w14:paraId="4B2B6BAD"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0599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WE Mean Deviation (MD)</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9962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-0.083 (p=0.274)</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214A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-0.221 (p=0.003)</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F5DC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-0.159 (p=0.035)</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C7E2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-0.075 (p=0.324)</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1154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-0.210 (p=0.005)</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A46F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-0.150 (p=0.047)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0790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-0.088 (p=0.243)</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F9D1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-0.234 (p=0.002)</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B5BB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-0.167 (p=0.026)</w:t>
            </w:r>
          </w:p>
        </w:tc>
      </w:tr>
      <w:tr w:rsidR="0097024E" w14:paraId="7DF0EBDA"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EBC0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 Short-</w:t>
            </w:r>
            <w:r>
              <w:rPr>
                <w:rFonts w:ascii="Times New Roman" w:hAnsi="Times New Roman"/>
                <w:color w:val="000000"/>
                <w:sz w:val="20"/>
                <w:szCs w:val="20"/>
              </w:rPr>
              <w:lastRenderedPageBreak/>
              <w:t>term Loss Variance (sLV)</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FBC1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-0.157 </w:t>
            </w:r>
            <w:r>
              <w:rPr>
                <w:rFonts w:ascii="Times New Roman" w:hAnsi="Times New Roman"/>
                <w:color w:val="000000"/>
                <w:sz w:val="20"/>
                <w:szCs w:val="20"/>
              </w:rPr>
              <w:lastRenderedPageBreak/>
              <w:t>(p=0.038)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ED77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-0.223 </w:t>
            </w:r>
            <w:r>
              <w:rPr>
                <w:rFonts w:ascii="Times New Roman" w:hAnsi="Times New Roman"/>
                <w:color w:val="000000"/>
                <w:sz w:val="20"/>
                <w:szCs w:val="20"/>
              </w:rPr>
              <w:lastRenderedPageBreak/>
              <w:t>(p=0.003)</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D547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-0.211 </w:t>
            </w:r>
            <w:r>
              <w:rPr>
                <w:rFonts w:ascii="Times New Roman" w:hAnsi="Times New Roman"/>
                <w:color w:val="000000"/>
                <w:sz w:val="20"/>
                <w:szCs w:val="20"/>
              </w:rPr>
              <w:lastRenderedPageBreak/>
              <w:t>(p=0.005)</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E175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-0.103 </w:t>
            </w:r>
            <w:r>
              <w:rPr>
                <w:rFonts w:ascii="Times New Roman" w:hAnsi="Times New Roman"/>
                <w:color w:val="000000"/>
                <w:sz w:val="20"/>
                <w:szCs w:val="20"/>
              </w:rPr>
              <w:lastRenderedPageBreak/>
              <w:t>(p=0.176)</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27B1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-0.198 </w:t>
            </w:r>
            <w:r>
              <w:rPr>
                <w:rFonts w:ascii="Times New Roman" w:hAnsi="Times New Roman"/>
                <w:color w:val="000000"/>
                <w:sz w:val="20"/>
                <w:szCs w:val="20"/>
              </w:rPr>
              <w:lastRenderedPageBreak/>
              <w:t>(p=0.009)</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7E47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-0.157 </w:t>
            </w:r>
            <w:r>
              <w:rPr>
                <w:rFonts w:ascii="Times New Roman" w:hAnsi="Times New Roman"/>
                <w:color w:val="000000"/>
                <w:sz w:val="20"/>
                <w:szCs w:val="20"/>
              </w:rPr>
              <w:lastRenderedPageBreak/>
              <w:t>(p=0.038)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45FE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-0.139 </w:t>
            </w:r>
            <w:r>
              <w:rPr>
                <w:rFonts w:ascii="Times New Roman" w:hAnsi="Times New Roman"/>
                <w:color w:val="000000"/>
                <w:sz w:val="20"/>
                <w:szCs w:val="20"/>
              </w:rPr>
              <w:lastRenderedPageBreak/>
              <w:t>(p=0.066)</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0F7D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-0.222 </w:t>
            </w:r>
            <w:r>
              <w:rPr>
                <w:rFonts w:ascii="Times New Roman" w:hAnsi="Times New Roman"/>
                <w:color w:val="000000"/>
                <w:sz w:val="20"/>
                <w:szCs w:val="20"/>
              </w:rPr>
              <w:lastRenderedPageBreak/>
              <w:t>(p=0.003)</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1C14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-0.194 </w:t>
            </w:r>
            <w:r>
              <w:rPr>
                <w:rFonts w:ascii="Times New Roman" w:hAnsi="Times New Roman"/>
                <w:color w:val="000000"/>
                <w:sz w:val="20"/>
                <w:szCs w:val="20"/>
              </w:rPr>
              <w:lastRenderedPageBreak/>
              <w:t>(p=0.010)</w:t>
            </w:r>
          </w:p>
        </w:tc>
      </w:tr>
      <w:tr w:rsidR="0097024E" w14:paraId="0A8245EB"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4FE5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WE Short-term Loss Variance (sLV)</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DF1B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-0.098 (p=0.197)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E2C4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-0.059 (p=0.436)</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682B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-0.094 (p=0.218)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203F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-0.065 (p=0.392)</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F183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-0.076 (p=0.317)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1B02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-0.067 (p=0.378)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FB9C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-0.088 (p=0.247)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62F6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-0.064 (p=0.400)</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559C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-0.081 (p=0.287)</w:t>
            </w:r>
          </w:p>
        </w:tc>
      </w:tr>
      <w:tr w:rsidR="0097024E" w14:paraId="3A151074"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1104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 Glaucoma Stage</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B423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-0.151 (p=0.045)</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76B6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-0.141 (p=0.061)</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0363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-0.179 (p=0.017)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BE5A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-0.105 (p=0.164)</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6B2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-0.175 (p=0.020)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0447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-0.157 (p=0.037)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0856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-0.135 (p=0.074)</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B26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-0.177 (p=0.018)</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6361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-0.178 (p=0.018)</w:t>
            </w:r>
          </w:p>
        </w:tc>
      </w:tr>
      <w:tr w:rsidR="0097024E" w14:paraId="02A6CBA7"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509A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WE Glaucoma Stage</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051D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-0.098 (p=0.197)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1715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-0.059 (p=0.436)</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5D93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-0.094 (p=0.218)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AFF2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-0.065 (p=0.392)</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C464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-0.076 (p=0.317)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0DEF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-0.067 (p=0.378)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6AD6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-0.088 (p=0.247)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64D2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-0.064 (p=0.400)</w:t>
            </w: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AFF7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-0.081 (p=0.287)</w:t>
            </w:r>
          </w:p>
        </w:tc>
      </w:tr>
      <w:tr w:rsidR="0097024E" w14:paraId="1018CD73" w14:textId="77777777" w:rsidTr="00F025E6">
        <w:tc>
          <w:tcPr>
            <w:tcW w:w="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F763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BE Number of Medications</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7372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-0.087 (p=0.247)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BF13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0C1B7" w14:textId="77777777" w:rsidR="0097024E" w:rsidRDefault="0097024E" w:rsidP="009C354B">
            <w:pPr>
              <w:spacing w:line="240" w:lineRule="auto"/>
              <w:jc w:val="both"/>
              <w:rPr>
                <w:rFonts w:ascii="Times New Roman" w:hAnsi="Times New Roman"/>
                <w:color w:val="000000"/>
                <w:sz w:val="20"/>
                <w:szCs w:val="20"/>
              </w:rPr>
            </w:pP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445F2" w14:textId="77777777" w:rsidR="0097024E" w:rsidRDefault="0097024E" w:rsidP="009C354B">
            <w:pPr>
              <w:spacing w:line="240" w:lineRule="auto"/>
              <w:jc w:val="both"/>
              <w:rPr>
                <w:rFonts w:ascii="Times New Roman" w:hAnsi="Times New Roman"/>
                <w:color w:val="000000"/>
                <w:sz w:val="20"/>
                <w:szCs w:val="20"/>
              </w:rPr>
            </w:pP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C4528" w14:textId="77777777" w:rsidR="0097024E" w:rsidRDefault="0097024E" w:rsidP="009C354B">
            <w:pPr>
              <w:spacing w:line="240" w:lineRule="auto"/>
              <w:jc w:val="both"/>
              <w:rPr>
                <w:rFonts w:ascii="Times New Roman" w:hAnsi="Times New Roman"/>
                <w:color w:val="000000"/>
                <w:sz w:val="20"/>
                <w:szCs w:val="20"/>
              </w:rPr>
            </w:pP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5ED45" w14:textId="77777777" w:rsidR="0097024E" w:rsidRDefault="0097024E" w:rsidP="009C354B">
            <w:pPr>
              <w:spacing w:line="240" w:lineRule="auto"/>
              <w:jc w:val="both"/>
              <w:rPr>
                <w:rFonts w:ascii="Times New Roman" w:hAnsi="Times New Roman"/>
                <w:color w:val="000000"/>
                <w:sz w:val="20"/>
                <w:szCs w:val="20"/>
              </w:rPr>
            </w:pP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C2C76" w14:textId="77777777" w:rsidR="0097024E" w:rsidRDefault="0097024E" w:rsidP="009C354B">
            <w:pPr>
              <w:spacing w:line="240" w:lineRule="auto"/>
              <w:jc w:val="both"/>
              <w:rPr>
                <w:rFonts w:ascii="Times New Roman" w:hAnsi="Times New Roman"/>
                <w:color w:val="000000"/>
                <w:sz w:val="20"/>
                <w:szCs w:val="20"/>
              </w:rPr>
            </w:pP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26DC8" w14:textId="77777777" w:rsidR="0097024E" w:rsidRDefault="0097024E" w:rsidP="009C354B">
            <w:pPr>
              <w:spacing w:line="240" w:lineRule="auto"/>
              <w:jc w:val="both"/>
              <w:rPr>
                <w:rFonts w:ascii="Times New Roman" w:hAnsi="Times New Roman"/>
                <w:color w:val="000000"/>
                <w:sz w:val="20"/>
                <w:szCs w:val="20"/>
              </w:rPr>
            </w:pPr>
          </w:p>
        </w:tc>
        <w:tc>
          <w:tcPr>
            <w:tcW w:w="4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A4D00" w14:textId="77777777" w:rsidR="0097024E" w:rsidRDefault="0097024E" w:rsidP="009C354B">
            <w:pPr>
              <w:spacing w:line="240" w:lineRule="auto"/>
              <w:jc w:val="both"/>
              <w:rPr>
                <w:rFonts w:ascii="Times New Roman" w:hAnsi="Times New Roman"/>
                <w:color w:val="000000"/>
                <w:sz w:val="20"/>
                <w:szCs w:val="20"/>
              </w:rPr>
            </w:pPr>
          </w:p>
        </w:tc>
      </w:tr>
    </w:tbl>
    <w:p w14:paraId="228E5D17"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presents Spearman correlation coefficients (ρ) and corresponding p-values assessing the relationship between Glaucoma Symptom Scale (GSS) scores—divided into SYMP-6, FUNC-4, and total scores for better eye (BE), worse eye (WE), and both eyes (RE+LE)—and various clinical parameters related to glaucoma severity and treatment. Indicators of visual functions such as better eye visual acuity (BE VA) compared to worse eye visual acuity (WE VA) were significantly negatively related to most GSS scores ( 0.112 to -0.253, p &lt; 0.05), particularly the functional subscale and overall scores. On the same note, mean deviation (MD) and standard loss variance (sLV) in both of the eyes showed a moderate negative relationship with GSS scores, so that worse visual field parameters were related with the poor symptom perception and functional limitation.</w:t>
      </w:r>
    </w:p>
    <w:p w14:paraId="4A960A8E"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Better eye glaucoma stage (BE GL stadium) was also observed to have negative relationships that were consistent with GSS scores ( -0.135 to -0.179, p &lt; 0.05 as well). On the contrary, treatment burden clinical variables, including the number of medications or eye drops, presented less strong and consistent correlations. Some small statistically significant correlations were observed like BE no medics with FUNC-4 ( 0.160, 0.034). No significant or statistically significant differences were found between the GSS scores and history of having undergone a trabeculectomy in one or both eyes and there was no statistically significant result showing that prior surgery had any bearable impact on the current symptoms and reported perceived visual functions in the patients. On the whole, such results suggest that GSS scores are fairly susceptible to clinical indicators of the severity of glaucoma, especially visual acuity, visual field loss, and disease staging, but less relevant to treatment-related variables.</w:t>
      </w:r>
    </w:p>
    <w:p w14:paraId="791FC332" w14:textId="77777777" w:rsidR="0097024E" w:rsidRDefault="0097024E" w:rsidP="0097024E">
      <w:pPr>
        <w:spacing w:line="240" w:lineRule="auto"/>
        <w:jc w:val="both"/>
        <w:rPr>
          <w:rFonts w:ascii="Times New Roman" w:hAnsi="Times New Roman"/>
          <w:color w:val="000000"/>
          <w:sz w:val="20"/>
          <w:szCs w:val="20"/>
        </w:rPr>
      </w:pPr>
    </w:p>
    <w:p w14:paraId="3F893EB1"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7. Rasch Analysis GSS Fit Statistics (n = 67)</w:t>
      </w:r>
    </w:p>
    <w:p w14:paraId="0F36DD74"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Person-Level Summary</w:t>
      </w:r>
    </w:p>
    <w:tbl>
      <w:tblPr>
        <w:tblW w:w="5000" w:type="pct"/>
        <w:tblLook w:val="04A0" w:firstRow="1" w:lastRow="0" w:firstColumn="1" w:lastColumn="0" w:noHBand="0" w:noVBand="1"/>
      </w:tblPr>
      <w:tblGrid>
        <w:gridCol w:w="2297"/>
        <w:gridCol w:w="720"/>
        <w:gridCol w:w="836"/>
        <w:gridCol w:w="1122"/>
        <w:gridCol w:w="766"/>
        <w:gridCol w:w="1194"/>
        <w:gridCol w:w="1116"/>
        <w:gridCol w:w="1441"/>
        <w:gridCol w:w="1423"/>
      </w:tblGrid>
      <w:tr w:rsidR="0097024E" w14:paraId="54B786E4" w14:textId="77777777" w:rsidTr="00F025E6">
        <w:trPr>
          <w:tblHeader/>
        </w:trPr>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A53C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Statistic</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BD7D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382C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Count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D174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Measure</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3233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Real SE</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9AFD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INFIT MNSQ</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BCF4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INFIT ZSTD</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BC08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OUTFIT MNSQ</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56D1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OUTFIT ZSTD</w:t>
            </w:r>
          </w:p>
        </w:tc>
      </w:tr>
      <w:tr w:rsidR="0097024E" w14:paraId="1CAE9A61" w14:textId="77777777" w:rsidTr="00F025E6">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EA9D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Mean</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5EB0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876.8</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7450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10.0</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0591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0.13</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693A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0.13</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A843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0.99</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028E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EBCE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1.06</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0C0B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r>
      <w:tr w:rsidR="0097024E" w14:paraId="0E1A6988" w14:textId="77777777" w:rsidTr="00F025E6">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549E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Standard Deviation (Person SD)</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1653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135.6</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47BF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3B6A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0.09</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2DFF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0.17</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5C7A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0.44</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997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7F16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0.72</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5264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1.1</w:t>
            </w:r>
          </w:p>
        </w:tc>
      </w:tr>
      <w:tr w:rsidR="0097024E" w14:paraId="5EF2FDFB" w14:textId="77777777" w:rsidTr="00F025E6">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F43E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Real Root Mean Square Error (RMSE)</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D937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E46A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9E83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D39A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0.21</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988B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DFB0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3A6F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820E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r>
      <w:tr w:rsidR="0097024E" w14:paraId="2BCD6182" w14:textId="77777777" w:rsidTr="00F025E6">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66BA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True Standard Deviation (True SD)</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C23C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67CA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85B2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D83C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5C51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5A0C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59AF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7665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r>
      <w:tr w:rsidR="0097024E" w14:paraId="1048C35A" w14:textId="77777777" w:rsidTr="00F025E6">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28C8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Separation</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5B16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42D5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B3A6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D606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8D1E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8A7A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3FE9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9DF5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0.50</w:t>
            </w:r>
          </w:p>
        </w:tc>
      </w:tr>
      <w:tr w:rsidR="0097024E" w14:paraId="1C2348BD" w14:textId="77777777" w:rsidTr="00F025E6">
        <w:tc>
          <w:tcPr>
            <w:tcW w:w="10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B0B8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Person Reliability</w:t>
            </w:r>
          </w:p>
        </w:tc>
        <w:tc>
          <w:tcPr>
            <w:tcW w:w="3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5AD2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0A81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CEB3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8A90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9115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A048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B85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F775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0.20</w:t>
            </w:r>
          </w:p>
        </w:tc>
      </w:tr>
    </w:tbl>
    <w:p w14:paraId="10AA2A3E" w14:textId="77777777" w:rsidR="0097024E" w:rsidRDefault="0097024E" w:rsidP="0097024E">
      <w:pPr>
        <w:spacing w:line="240" w:lineRule="auto"/>
        <w:jc w:val="both"/>
        <w:rPr>
          <w:rFonts w:ascii="Times New Roman" w:hAnsi="Times New Roman"/>
          <w:color w:val="000000"/>
          <w:sz w:val="20"/>
          <w:szCs w:val="20"/>
        </w:rPr>
      </w:pPr>
    </w:p>
    <w:p w14:paraId="6B234D1C"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Item-Level Summary (10 items)</w:t>
      </w:r>
    </w:p>
    <w:tbl>
      <w:tblPr>
        <w:tblW w:w="5000" w:type="pct"/>
        <w:tblLook w:val="04A0" w:firstRow="1" w:lastRow="0" w:firstColumn="1" w:lastColumn="0" w:noHBand="0" w:noVBand="1"/>
      </w:tblPr>
      <w:tblGrid>
        <w:gridCol w:w="2171"/>
        <w:gridCol w:w="998"/>
        <w:gridCol w:w="836"/>
        <w:gridCol w:w="1122"/>
        <w:gridCol w:w="751"/>
        <w:gridCol w:w="1159"/>
        <w:gridCol w:w="1083"/>
        <w:gridCol w:w="1404"/>
        <w:gridCol w:w="1391"/>
      </w:tblGrid>
      <w:tr w:rsidR="0097024E" w14:paraId="774E2C18" w14:textId="77777777" w:rsidTr="00F025E6">
        <w:trPr>
          <w:tblHeader/>
        </w:trPr>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21B0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Statistic</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42FD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B2EF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Count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5322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Measure</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241E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Real SE</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75A8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INFIT MNSQ</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84FE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INFIT ZSTD</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DEB2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OUTFIT MNSQ</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2B3F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OUTFIT ZSTD</w:t>
            </w:r>
          </w:p>
        </w:tc>
      </w:tr>
      <w:tr w:rsidR="0097024E" w14:paraId="43D3A399" w14:textId="77777777" w:rsidTr="00F025E6">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E851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Mean</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56EB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15520.0</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46F3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67.0</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C696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5548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7FE3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1.03</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0F2B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BB1F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1.06</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8258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r>
      <w:tr w:rsidR="0097024E" w14:paraId="0455BBFD" w14:textId="77777777" w:rsidTr="00F025E6">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8075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Standard Deviation (Person SD)</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E578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861.2</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44A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6DBD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C95C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AE8D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0.27</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3F32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1.8</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4C21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0.39</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7B84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1.6</w:t>
            </w:r>
          </w:p>
        </w:tc>
      </w:tr>
      <w:tr w:rsidR="0097024E" w14:paraId="19F4EB26" w14:textId="77777777" w:rsidTr="00F025E6">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988F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Real Root Mean Square Error (RMSE)</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7499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ED6A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CE83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50D8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59AF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6A6C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A2C1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94BF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r>
      <w:tr w:rsidR="0097024E" w14:paraId="402FFE05" w14:textId="77777777" w:rsidTr="00F025E6">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DDA2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True Standard Deviation (True SD)</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72A1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5997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DCC3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02D3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3DC6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BC03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B26C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A62E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r>
      <w:tr w:rsidR="0097024E" w14:paraId="7BAF42CD" w14:textId="77777777" w:rsidTr="00F025E6">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0ED1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Separation</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38A8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73A3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0EE2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E15E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B2BC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BBB4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D476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9DAE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3.04</w:t>
            </w:r>
          </w:p>
        </w:tc>
      </w:tr>
      <w:tr w:rsidR="0097024E" w14:paraId="24787613" w14:textId="77777777" w:rsidTr="00F025E6">
        <w:tc>
          <w:tcPr>
            <w:tcW w:w="9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2BAE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Item Reliability</w:t>
            </w:r>
          </w:p>
        </w:tc>
        <w:tc>
          <w:tcPr>
            <w:tcW w:w="4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99A5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3EF8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9C12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3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4A3B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A026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4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A9ED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CFA0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0701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r>
    </w:tbl>
    <w:p w14:paraId="3C568354" w14:textId="77777777" w:rsidR="0097024E" w:rsidRDefault="0097024E" w:rsidP="0097024E">
      <w:pPr>
        <w:spacing w:line="240" w:lineRule="auto"/>
        <w:jc w:val="both"/>
        <w:rPr>
          <w:rFonts w:ascii="Times New Roman" w:hAnsi="Times New Roman"/>
          <w:color w:val="000000"/>
          <w:sz w:val="20"/>
          <w:szCs w:val="20"/>
        </w:rPr>
      </w:pPr>
      <w:bookmarkStart w:id="0" w:name="_xku655aboa8z"/>
      <w:bookmarkEnd w:id="0"/>
      <w:r>
        <w:rPr>
          <w:rFonts w:ascii="Times New Roman" w:hAnsi="Times New Roman"/>
          <w:color w:val="000000"/>
          <w:sz w:val="20"/>
          <w:szCs w:val="20"/>
        </w:rPr>
        <w:lastRenderedPageBreak/>
        <w:t>Table contains descriptive item-level statistics of the glaucoma symptom scale (GSS) Rasch analysis. These statistics are total score, number of items, item measures, fit statistics and reliability indices.</w:t>
      </w:r>
    </w:p>
    <w:p w14:paraId="5DF911D8"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mean measure of items was 0.1 logits (SD = 0.1), which shows the items were centrally located around the scale mean of the latent trait continuum. Precision on the measure of items also was good with an average standard error (SE) of 0.1. INFIT and OUTFIT mean square (MNSQ) values were close to the expected value of 1.0 (INFIT MNSQ = 1.03; OUTFIT MNSQ = 1.06), with standardized values (ZSTD) near 0.2 and 0.1, respectively, indicating an overall good fit of items to the Rasch model.</w:t>
      </w:r>
    </w:p>
    <w:p w14:paraId="372E6DA0"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real RMSE and true standard deviation were both 0.01, suggesting minimal error in estimating item difficulties and low spread in item measure variance. The item separation index was 3.04, reflecting a strong spread of item difficulties and suggesting that the items can reliably differentiate between multiple levels of the latent trait. Although item reliability value was not explicitly reported, the high separation index typically corresponds to strong item reliability, likely exceeding 0.90. These results suggest that the GSS items are appropriately distributed along the difficulty continuum, demonstrate good model fit, and are reliable for measuring the underlying construct in this sample.</w:t>
      </w:r>
    </w:p>
    <w:p w14:paraId="2C04C226" w14:textId="77777777" w:rsidR="008A4F0C" w:rsidRDefault="008A4F0C" w:rsidP="0097024E">
      <w:pPr>
        <w:spacing w:line="240" w:lineRule="auto"/>
        <w:jc w:val="both"/>
        <w:rPr>
          <w:rFonts w:ascii="Times New Roman" w:hAnsi="Times New Roman"/>
          <w:color w:val="000000"/>
          <w:sz w:val="20"/>
          <w:szCs w:val="20"/>
        </w:rPr>
      </w:pPr>
    </w:p>
    <w:p w14:paraId="5B8654C3" w14:textId="4D98E8CC" w:rsidR="0097024E" w:rsidRDefault="0097024E" w:rsidP="008A4F0C">
      <w:pPr>
        <w:spacing w:line="240" w:lineRule="auto"/>
        <w:jc w:val="both"/>
        <w:rPr>
          <w:rFonts w:ascii="Times New Roman" w:hAnsi="Times New Roman"/>
          <w:color w:val="000000"/>
          <w:sz w:val="20"/>
          <w:szCs w:val="20"/>
        </w:rPr>
      </w:pPr>
      <w:r>
        <w:rPr>
          <w:rFonts w:ascii="Times New Roman" w:hAnsi="Times New Roman"/>
          <w:color w:val="000000"/>
          <w:sz w:val="20"/>
          <w:szCs w:val="20"/>
        </w:rPr>
        <w:t>Table 8. Rasch Analysis GSS Item Statistics (n = 67)</w:t>
      </w:r>
    </w:p>
    <w:tbl>
      <w:tblPr>
        <w:tblW w:w="5000" w:type="pct"/>
        <w:tblLook w:val="04A0" w:firstRow="1" w:lastRow="0" w:firstColumn="1" w:lastColumn="0" w:noHBand="0" w:noVBand="1"/>
      </w:tblPr>
      <w:tblGrid>
        <w:gridCol w:w="1058"/>
        <w:gridCol w:w="960"/>
        <w:gridCol w:w="808"/>
        <w:gridCol w:w="1081"/>
        <w:gridCol w:w="821"/>
        <w:gridCol w:w="893"/>
        <w:gridCol w:w="832"/>
        <w:gridCol w:w="1111"/>
        <w:gridCol w:w="1111"/>
        <w:gridCol w:w="1081"/>
        <w:gridCol w:w="1159"/>
      </w:tblGrid>
      <w:tr w:rsidR="0097024E" w14:paraId="7DC97912" w14:textId="77777777" w:rsidTr="00F025E6">
        <w:trPr>
          <w:tblHeader/>
        </w:trPr>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EB4A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Entry Number</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52F2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Score</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EC5C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Total Count</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56E2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Measure</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0B8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Model SE</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8309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INFIT MNSQ</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BAD3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INFIT ZSTD</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1444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OUTFIT MNSQ</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5A9E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OUTFIT ZSTD</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375F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PT Measure Corr.</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101A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Expected Corr.</w:t>
            </w:r>
          </w:p>
        </w:tc>
      </w:tr>
      <w:tr w:rsidR="0097024E" w14:paraId="54A5A617"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6AF1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7A91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15275</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EF03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2101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F752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F3C4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0.73</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75B9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2.6</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1586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0.65</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8D86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2.4</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3E79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0.53</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7D6B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0.49</w:t>
            </w:r>
          </w:p>
        </w:tc>
      </w:tr>
      <w:tr w:rsidR="0097024E" w14:paraId="6684D620"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1983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853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15300</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4C6F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2296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A4FC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40B9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0.86</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E835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1.2</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088E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0.87</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FDA0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C4AE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0.51</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1A21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0.49</w:t>
            </w:r>
          </w:p>
        </w:tc>
      </w:tr>
      <w:tr w:rsidR="0097024E" w14:paraId="3088DBEC"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76E2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3</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AAB6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13575</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EA6A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CF1E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0.03</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9B19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FCDC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0.76</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6C4F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2.4</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EA72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0.76</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0175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2.3</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CC5C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0.67</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BC38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0.64</w:t>
            </w:r>
          </w:p>
        </w:tc>
      </w:tr>
      <w:tr w:rsidR="0097024E" w14:paraId="6FA9619D"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9CA5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4</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3809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14975</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9ABD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19E9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EA22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FD07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0.98</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E443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B048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1.02</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8E0F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B599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0.53</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8EB5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0.52</w:t>
            </w:r>
          </w:p>
        </w:tc>
      </w:tr>
      <w:tr w:rsidR="0097024E" w14:paraId="1A5F31E9"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2AB4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5</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1F50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16050</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2ABE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A393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149C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7E82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1.01</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1F4F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0590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0.88</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59BC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5B03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0.41</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59A5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0.42</w:t>
            </w:r>
          </w:p>
        </w:tc>
      </w:tr>
      <w:tr w:rsidR="0097024E" w14:paraId="2F2D7A86"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A687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7BA7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15925</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9110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F941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1CA1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2BEF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0.94</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568F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7C38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1.15</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449E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3667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0.43</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E339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0.43</w:t>
            </w:r>
          </w:p>
        </w:tc>
      </w:tr>
      <w:tr w:rsidR="0097024E" w14:paraId="2355FE17"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244B6"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7</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2F8B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15350</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D905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6B15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F4E9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7093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0.84</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86CD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0.9</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3B43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0.84</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497F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0.9</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6A23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0.51</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AF140"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0.49</w:t>
            </w:r>
          </w:p>
        </w:tc>
      </w:tr>
      <w:tr w:rsidR="0097024E" w14:paraId="35D8AAFF"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18A0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907E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16750</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22A0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4007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0.02</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3144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E887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1.61</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71E4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2.6</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1F8E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2.04</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60DE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2.4</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0574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0.25</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0D1A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0.33</w:t>
            </w:r>
          </w:p>
        </w:tc>
      </w:tr>
      <w:tr w:rsidR="0097024E" w14:paraId="4F76EF4C"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4C7A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9</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D769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15375</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C506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58AC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A152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AC56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1.44</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49FE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3.4</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7D27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1.46</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2D04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2.4</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C85C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0.43</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55BF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0.48</w:t>
            </w:r>
          </w:p>
        </w:tc>
      </w:tr>
      <w:tr w:rsidR="0097024E" w14:paraId="5F043768"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7102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35DF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16625</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8B69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67</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250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0.02</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3A41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B97D8"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1.07</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D1302"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0.4</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F0FE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0.92</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615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0136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0.34</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55D9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0.35</w:t>
            </w:r>
          </w:p>
        </w:tc>
      </w:tr>
      <w:tr w:rsidR="0097024E" w14:paraId="434367E2"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E6A8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Mean</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A478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15520.0</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83CD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23881"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E7C23"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D2B4D"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1.03</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E19E"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6508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1.06</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C149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0.1</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FFFD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69A1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r>
      <w:tr w:rsidR="0097024E" w14:paraId="20391F86" w14:textId="77777777" w:rsidTr="00F025E6">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53407"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P.SD</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9ABBC"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861.2</w:t>
            </w:r>
          </w:p>
        </w:tc>
        <w:tc>
          <w:tcPr>
            <w:tcW w:w="3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E382B"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w:t>
            </w: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DA08A"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49C95"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0.01</w:t>
            </w:r>
          </w:p>
        </w:tc>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7E0C9"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0.27</w:t>
            </w:r>
          </w:p>
        </w:tc>
        <w:tc>
          <w:tcPr>
            <w:tcW w:w="3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764FF"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1.8</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A6CA4" w14:textId="77777777" w:rsidR="0097024E" w:rsidRDefault="0097024E" w:rsidP="009C354B">
            <w:pPr>
              <w:spacing w:line="240" w:lineRule="auto"/>
              <w:jc w:val="both"/>
              <w:rPr>
                <w:rFonts w:ascii="Times New Roman" w:hAnsi="Times New Roman"/>
                <w:color w:val="000000"/>
                <w:sz w:val="20"/>
                <w:szCs w:val="20"/>
              </w:rPr>
            </w:pPr>
            <w:r>
              <w:rPr>
                <w:rFonts w:ascii="Times New Roman" w:hAnsi="Times New Roman"/>
                <w:color w:val="000000"/>
                <w:sz w:val="20"/>
                <w:szCs w:val="20"/>
              </w:rPr>
              <w:t>0.39</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6BFE5" w14:textId="77777777" w:rsidR="0097024E" w:rsidRDefault="0097024E" w:rsidP="009C354B">
            <w:pPr>
              <w:spacing w:line="240" w:lineRule="auto"/>
              <w:jc w:val="both"/>
              <w:rPr>
                <w:rFonts w:ascii="Times New Roman" w:hAnsi="Times New Roman"/>
                <w:color w:val="000000"/>
                <w:sz w:val="20"/>
                <w:szCs w:val="20"/>
              </w:rPr>
            </w:pPr>
          </w:p>
        </w:tc>
        <w:tc>
          <w:tcPr>
            <w:tcW w:w="4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C98BE" w14:textId="77777777" w:rsidR="0097024E" w:rsidRDefault="0097024E" w:rsidP="009C354B">
            <w:pPr>
              <w:spacing w:line="240" w:lineRule="auto"/>
              <w:jc w:val="both"/>
              <w:rPr>
                <w:rFonts w:ascii="Times New Roman" w:hAnsi="Times New Roman"/>
                <w:color w:val="000000"/>
                <w:sz w:val="20"/>
                <w:szCs w:val="20"/>
              </w:rPr>
            </w:pPr>
          </w:p>
        </w:tc>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CA815" w14:textId="77777777" w:rsidR="0097024E" w:rsidRDefault="0097024E" w:rsidP="009C354B">
            <w:pPr>
              <w:spacing w:line="240" w:lineRule="auto"/>
              <w:jc w:val="both"/>
              <w:rPr>
                <w:rFonts w:ascii="Times New Roman" w:hAnsi="Times New Roman"/>
                <w:color w:val="000000"/>
                <w:sz w:val="20"/>
                <w:szCs w:val="20"/>
              </w:rPr>
            </w:pPr>
          </w:p>
        </w:tc>
      </w:tr>
    </w:tbl>
    <w:p w14:paraId="4A7B0EC0"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Table presents the Rasch item statistics for each of the 10 items in the Glaucoma Symptom Scale (GSS), including total scores, measures (item difficulty), standard errors, fit indices (INFIT and OUTFIT mean square and Z-standardized values), point-measure correlations, and expected correlations.</w:t>
      </w:r>
    </w:p>
    <w:p w14:paraId="6FB8B208" w14:textId="12C36858" w:rsidR="0097024E" w:rsidRDefault="0097024E" w:rsidP="008A4F0C">
      <w:pPr>
        <w:spacing w:line="240" w:lineRule="auto"/>
        <w:jc w:val="both"/>
        <w:rPr>
          <w:rFonts w:ascii="Times New Roman" w:hAnsi="Times New Roman"/>
          <w:color w:val="000000"/>
          <w:sz w:val="20"/>
          <w:szCs w:val="20"/>
        </w:rPr>
      </w:pPr>
      <w:r>
        <w:rPr>
          <w:rFonts w:ascii="Times New Roman" w:hAnsi="Times New Roman"/>
          <w:color w:val="000000"/>
          <w:sz w:val="20"/>
          <w:szCs w:val="20"/>
        </w:rPr>
        <w:t>Measurement of items had a small deviation of 0.01 to 0.03 logits, which implies that there was a tight range of interval of items around the mean of the latent trait. All item standard errors were also low (0.01), indicating high levels of precision in item estimates. The values of INFIT mean square (MNSQ) were between 0.73 and 1.61 and the values of OUTFIT MNSQ were between 0.65 and 2.04 and the values of the ZSTD were between 0.1 and 3.4. The majority of the items were at respectable levels of acceptance by fit tests (0.6-1.4 MNSQ), except that Item 8 and Item 9 had a high level of misfit with high levels of INFIT and OUTFIT values, and ZSTD scores where both exceeded 2.0 indicating the possibility of an unpredictable response to such items. Point-measure correlations (PT Measure Corr.) were mostly robust (range = 0.25 to 0.67), which we found out was that the item responses were generally congruent with the overall person measures, with one exception of relatively low item 8 (0.25) correlation with the latent trait.</w:t>
      </w:r>
      <w:r w:rsidR="008A4F0C">
        <w:rPr>
          <w:rFonts w:ascii="Times New Roman" w:hAnsi="Times New Roman"/>
          <w:color w:val="000000"/>
          <w:sz w:val="20"/>
          <w:szCs w:val="20"/>
        </w:rPr>
        <w:t xml:space="preserve"> </w:t>
      </w:r>
      <w:r>
        <w:rPr>
          <w:rFonts w:ascii="Times New Roman" w:hAnsi="Times New Roman"/>
          <w:color w:val="000000"/>
          <w:sz w:val="20"/>
          <w:szCs w:val="20"/>
        </w:rPr>
        <w:t>The mean INFIT and OUTFIT MNSQ values were 1.03 and 1.06, respectively, with associated mean ZSTD values close to 0, suggesting overall good item fit to the Rasch model. These findings support the internal construct validity of most GSS items, with the exception of one or two items that may benefit from further review or refinement in future scale applications.</w:t>
      </w:r>
    </w:p>
    <w:p w14:paraId="535A8C85" w14:textId="77777777" w:rsidR="008A4F0C" w:rsidRDefault="008A4F0C" w:rsidP="0097024E">
      <w:pPr>
        <w:spacing w:line="240" w:lineRule="auto"/>
        <w:jc w:val="both"/>
        <w:rPr>
          <w:rFonts w:ascii="Times New Roman" w:hAnsi="Times New Roman"/>
          <w:color w:val="000000"/>
          <w:sz w:val="20"/>
          <w:szCs w:val="20"/>
        </w:rPr>
      </w:pPr>
    </w:p>
    <w:p w14:paraId="1B92BD31" w14:textId="77777777" w:rsidR="0097024E" w:rsidRPr="00F025E6" w:rsidRDefault="0097024E" w:rsidP="0097024E">
      <w:pPr>
        <w:spacing w:line="240" w:lineRule="auto"/>
        <w:jc w:val="both"/>
        <w:rPr>
          <w:rFonts w:ascii="Times New Roman" w:hAnsi="Times New Roman"/>
          <w:b/>
          <w:bCs/>
          <w:color w:val="000000"/>
          <w:sz w:val="20"/>
          <w:szCs w:val="20"/>
        </w:rPr>
      </w:pPr>
      <w:r w:rsidRPr="00F025E6">
        <w:rPr>
          <w:rFonts w:ascii="Times New Roman" w:hAnsi="Times New Roman"/>
          <w:b/>
          <w:bCs/>
          <w:color w:val="000000"/>
          <w:sz w:val="20"/>
          <w:szCs w:val="20"/>
        </w:rPr>
        <w:t>DISCUSSION</w:t>
      </w:r>
    </w:p>
    <w:p w14:paraId="6770C402"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The original GSS, developed by National Eye Institute researchers, consists of 10 items focusing on functional and non-functional symptoms associated with glaucoma, such as blurred vision, eye pain, halos around lights, and difficulties with activities such as reading or driving. Respondents rate each item on a Likert scale based on the severity of symptoms or difficulties experienced. The GSS has demonstrated good psychometric properties in Western populations and has been translated into several languages including Spanish, Chinese, and Turkish.[11] </w:t>
      </w:r>
    </w:p>
    <w:p w14:paraId="6C1C7E4E"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A 2022 study by Surrati Am. sought to determine the ability of a translated form of the Glaucoma Symptom Scale (GSS) Questionnaire as an instrument in assessing existing Italian patients, both in symptoms and the function component. This cross-sectional validation research included ambulatory glaucoma patients and a control cohort without eye disorders. Participants were required to possess adequate cognitive abilities to complete health assessment instruments. Each participant received a self-administered Italian translation of the 25-item National Eye Institute-Visual Function Questionnaire along with the GSS Questionnaire. The Italian adaptation of the GSS Questionnaire underwent validation testing for reliability and validity using conventional statistical approaches for questionnaire validation. The research included ninety-seven participants. The maximum cronbach coefficients for various subscales and visual evaluations ranged from 0.72 to 0.92. All subscales and visual assessments demonstrated 85 percent or higher test-retest consistency. Control subjects exhibited superior performance across all health-related </w:t>
      </w:r>
      <w:r>
        <w:rPr>
          <w:rFonts w:ascii="Times New Roman" w:hAnsi="Times New Roman"/>
          <w:color w:val="000000"/>
          <w:sz w:val="20"/>
          <w:szCs w:val="20"/>
        </w:rPr>
        <w:lastRenderedPageBreak/>
        <w:t>quality of life dimensions related to vision on the GSS Questionnaire (P&lt;0.05), and a robust association was observed between GSS Questionnaire subscale responses and components of the 25-item National Eye Institute-Visual Function Questionnaire. [12]</w:t>
      </w:r>
    </w:p>
    <w:p w14:paraId="1C2660A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In our study we found that the Urdu version of the Glaucoma Symptom Scale (GSS) showed acceptable psychometric properties in a low literacy population. Internal consistency was good overall (α = 0.81), especially for the SYMP-6 subscale, while the FUNC-4 subscale showed lower reliability (α = 0.53). Factor analysis proved that it was two factor structure though item no 5, 7 and 8 were also weak. The symptoms most complained of were those of dryness and burning and the better and worse eyes had similar scores on GSS. Convergent validity was supported by moderate to strong correlations with NEI-VFQ-25 subscales like ocular pain and near vision. GSS scores moderately correlated with clinical variables such as visual acuity and glaucoma stage, especially in the better eye. Rasch analysis showed low person reliability but high item reliability, with most items fitting the model except items 8 and 9. The findings suggest that the Urdu GSS is suitable for assessing glaucoma symptoms in clinical settings, though some items may need refinement.[13]</w:t>
      </w:r>
    </w:p>
    <w:p w14:paraId="30339906"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Compared to the 2022 study by Surrati AM, which validated the Italian version of the Glaucoma Symptom Scale (GSS) in a cognitively able population using self-administered questionnaires, the current study evaluated the Urdu version in a low-literacy glaucoma population using interviewer-administered methods. While both studies demonstrated acceptable validity and alignment with NEI-VFQ-25 subscales, the Italian version showed higher internal consistency (Cronbach’s α = 0.72–0.92) and strong test-retest reliability (&gt;85%), whereas the Urdu version had good overall reliability (α = 0.81), but the FUNC-4 subscale performed poorly (α = 0.53) and test-retest reliability was not assessed. The Urdu version of the factor analysis supported two-factor model but indicated some issues in terms of the items (item 5,7 and 8) whereas the Italian version had more ideal items and higher discriminative validity considering the use of healthy control group. Also, Rasch analysis served in the Urdu investigation indicated that item reliability was high, whereas the person reliability was poor further proposing that the items should be improved using the latter. Generally, the two articles confirm that GSS will be useful in various linguistic and cultural settings, although the Urdu version sheds light on the problem of adjusting health-related measures to low-literacy populations.[14]</w:t>
      </w:r>
    </w:p>
    <w:p w14:paraId="7AF6C46A" w14:textId="77777777" w:rsidR="00172F0F" w:rsidRDefault="00172F0F" w:rsidP="0097024E">
      <w:pPr>
        <w:spacing w:line="240" w:lineRule="auto"/>
        <w:jc w:val="both"/>
        <w:rPr>
          <w:rFonts w:ascii="Times New Roman" w:hAnsi="Times New Roman"/>
          <w:color w:val="000000"/>
          <w:sz w:val="20"/>
          <w:szCs w:val="20"/>
        </w:rPr>
      </w:pPr>
    </w:p>
    <w:p w14:paraId="46824AFA" w14:textId="38539E90" w:rsidR="0097024E" w:rsidRPr="00172F0F" w:rsidRDefault="0097024E" w:rsidP="0097024E">
      <w:pPr>
        <w:spacing w:line="240" w:lineRule="auto"/>
        <w:jc w:val="both"/>
        <w:rPr>
          <w:rFonts w:ascii="Times New Roman" w:hAnsi="Times New Roman"/>
          <w:b/>
          <w:bCs/>
          <w:color w:val="000000"/>
          <w:sz w:val="20"/>
          <w:szCs w:val="20"/>
        </w:rPr>
      </w:pPr>
      <w:r w:rsidRPr="00172F0F">
        <w:rPr>
          <w:rFonts w:ascii="Times New Roman" w:hAnsi="Times New Roman"/>
          <w:b/>
          <w:bCs/>
          <w:color w:val="000000"/>
          <w:sz w:val="20"/>
          <w:szCs w:val="20"/>
        </w:rPr>
        <w:t>CONCLUSION</w:t>
      </w:r>
    </w:p>
    <w:p w14:paraId="0F8343D2" w14:textId="67DA08FF"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The Urdu adaptation of the Glaucoma Symptom Scale (GSS) had acceptable psychometric attributes with a low-literacy glaucoma population, suggesting it can be used in a medical and research environment in other related situations. The scale demonstrated excellent overall internal consistency and a factor structure similar to that of the original instrument as well as moderate to excellent convergent validity with the related NEI-VFQ-25 subscales. But the lower reliability of the FUNC-4 subscale, and misfit of some items (especially in items 8 and 9), have indicated that certain items could be refined to enhance measurement accuracy due to cultural or linguistic issues. Nevertheless, the Urdu GSS is an effective and applicable instrument in the measurement of the symptoms of glaucoma in patients having limited literacy in the Urdu language.</w:t>
      </w:r>
    </w:p>
    <w:p w14:paraId="23A2880D" w14:textId="77777777" w:rsidR="00172F0F" w:rsidRDefault="00172F0F" w:rsidP="0097024E">
      <w:pPr>
        <w:spacing w:line="240" w:lineRule="auto"/>
        <w:jc w:val="both"/>
        <w:rPr>
          <w:rFonts w:ascii="Times New Roman" w:hAnsi="Times New Roman"/>
          <w:b/>
          <w:bCs/>
          <w:color w:val="000000"/>
          <w:sz w:val="20"/>
          <w:szCs w:val="20"/>
        </w:rPr>
      </w:pPr>
    </w:p>
    <w:p w14:paraId="39CD9174" w14:textId="0E490DC9" w:rsidR="0097024E" w:rsidRPr="00172F0F" w:rsidRDefault="0097024E" w:rsidP="0097024E">
      <w:pPr>
        <w:spacing w:line="240" w:lineRule="auto"/>
        <w:jc w:val="both"/>
        <w:rPr>
          <w:rFonts w:ascii="Times New Roman" w:hAnsi="Times New Roman"/>
          <w:b/>
          <w:bCs/>
          <w:color w:val="000000"/>
          <w:sz w:val="20"/>
          <w:szCs w:val="20"/>
        </w:rPr>
      </w:pPr>
      <w:r w:rsidRPr="00172F0F">
        <w:rPr>
          <w:rFonts w:ascii="Times New Roman" w:hAnsi="Times New Roman"/>
          <w:b/>
          <w:bCs/>
          <w:color w:val="000000"/>
          <w:sz w:val="20"/>
          <w:szCs w:val="20"/>
        </w:rPr>
        <w:t>RECOMMENDATIONS</w:t>
      </w:r>
    </w:p>
    <w:p w14:paraId="5BA064B6" w14:textId="3FA85F06" w:rsidR="0097024E" w:rsidRDefault="0097024E" w:rsidP="005442C4">
      <w:pPr>
        <w:spacing w:line="240" w:lineRule="auto"/>
        <w:jc w:val="both"/>
        <w:rPr>
          <w:rFonts w:ascii="Times New Roman" w:hAnsi="Times New Roman"/>
          <w:color w:val="000000"/>
          <w:sz w:val="20"/>
          <w:szCs w:val="20"/>
        </w:rPr>
      </w:pPr>
      <w:r>
        <w:rPr>
          <w:rFonts w:ascii="Times New Roman" w:hAnsi="Times New Roman"/>
          <w:color w:val="000000"/>
          <w:sz w:val="20"/>
          <w:szCs w:val="20"/>
          <w:lang w:val="en-GB" w:eastAsia="en-GB"/>
        </w:rPr>
        <w:t>Future studies should consider revising or replacing poorly performing items (e.g., items 8 and 9) to improve the scale’s psychometric performance in low-literacy populations.</w:t>
      </w:r>
      <w:r w:rsidR="00EF68B8">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A larger and more diverse sample across different regions of Pakistan would help strengthen the generalizability of the findings.</w:t>
      </w:r>
      <w:r w:rsidR="00EF68B8">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Incorporating a healthy control group could provide clearer discrimination between affected and unaffected individuals.</w:t>
      </w:r>
      <w:r w:rsidR="003633EC">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Further research should assess test-retest reliability to evaluate the stability of the Urdu GSS over time.</w:t>
      </w:r>
      <w:r w:rsidR="003633EC">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Use of cognitive interviewing techniques in future translations can help ensure better comprehension of items among low-literacy participants.</w:t>
      </w:r>
      <w:r w:rsidR="00E3690D">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Additional Rasch-based refinements such as collapsing response categories or rewording items may help address the observed ceiling effects and low person reliability.</w:t>
      </w:r>
      <w:r w:rsidR="00E3690D">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Cross-cultural comparisons with other language versions (e.g., Italian, Serbian) could identify culturally specific symptom interpretations and inform better item calibration.</w:t>
      </w:r>
      <w:r w:rsidR="005442C4">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Implementing the Urdu GSS in routine clinical settings could help evaluate its responsiveness to treatment outcomes or disease progression.</w:t>
      </w:r>
      <w:r w:rsidR="00E3690D">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Future adaptations could explore simplified formats or visual aids to enhance usability for patients with minimal literacy.</w:t>
      </w:r>
      <w:r w:rsidR="0087156A">
        <w:rPr>
          <w:rFonts w:ascii="Times New Roman" w:hAnsi="Times New Roman"/>
          <w:color w:val="000000"/>
          <w:sz w:val="20"/>
          <w:szCs w:val="20"/>
          <w:lang w:val="en-GB" w:eastAsia="en-GB"/>
        </w:rPr>
        <w:t xml:space="preserve"> </w:t>
      </w:r>
      <w:r>
        <w:rPr>
          <w:rFonts w:ascii="Times New Roman" w:hAnsi="Times New Roman"/>
          <w:color w:val="000000"/>
          <w:sz w:val="20"/>
          <w:szCs w:val="20"/>
          <w:lang w:val="en-GB" w:eastAsia="en-GB"/>
        </w:rPr>
        <w:t>Integration of patient and clinician feedback during item development may further improve the relevance and clarity of the questionnaire.</w:t>
      </w:r>
    </w:p>
    <w:p w14:paraId="33448424" w14:textId="77777777" w:rsidR="0097024E" w:rsidRDefault="0097024E" w:rsidP="0097024E">
      <w:pPr>
        <w:spacing w:line="240" w:lineRule="auto"/>
        <w:jc w:val="both"/>
        <w:rPr>
          <w:rFonts w:ascii="Times New Roman" w:hAnsi="Times New Roman"/>
          <w:color w:val="000000"/>
          <w:sz w:val="20"/>
          <w:szCs w:val="20"/>
        </w:rPr>
      </w:pPr>
    </w:p>
    <w:p w14:paraId="668E33BD" w14:textId="77777777" w:rsidR="0097024E" w:rsidRPr="0087156A" w:rsidRDefault="0097024E" w:rsidP="0097024E">
      <w:pPr>
        <w:spacing w:line="240" w:lineRule="auto"/>
        <w:jc w:val="both"/>
        <w:rPr>
          <w:rFonts w:ascii="Times New Roman" w:hAnsi="Times New Roman"/>
          <w:b/>
          <w:bCs/>
          <w:color w:val="000000"/>
          <w:sz w:val="20"/>
          <w:szCs w:val="20"/>
        </w:rPr>
      </w:pPr>
      <w:r w:rsidRPr="0087156A">
        <w:rPr>
          <w:rFonts w:ascii="Times New Roman" w:hAnsi="Times New Roman"/>
          <w:b/>
          <w:bCs/>
          <w:color w:val="000000"/>
          <w:sz w:val="20"/>
          <w:szCs w:val="20"/>
        </w:rPr>
        <w:t xml:space="preserve">REFERENCES                </w:t>
      </w:r>
    </w:p>
    <w:p w14:paraId="7863D19E"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1. Weinreb RN, Aung T, Medeiros FA. The pathophysiology and treatment of glaucoma: a review. JAMA. 2014;311(18):1901–1911. doi: 10.1001/jama.2014.3192. </w:t>
      </w:r>
    </w:p>
    <w:p w14:paraId="286D932F"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2. Bourne RR, Taylor HR, Flaxman SR, Keeffe J, Leasher J, Naidoo K, Pesudovs K, White RA, Wong TY, Resnikoff S, Jonas JB, Vision Loss Expert Group of the Global Burden of Disease Study Number of people blind or visually impaired by glaucoma worldwide and in world regions 1990-2010: a meta-analysis. PLoS One. 2016;11(10):e0162229.</w:t>
      </w:r>
    </w:p>
    <w:p w14:paraId="0EB4446C"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3. Quaranta L, Riva I, Gerardi C, Oddone F, Floriani I, Konstas AG. Quality of life in glaucoma: a review of the literature. Adv Ther. 2016;33(6):959–981. doi: 10.1007/s12325-016-0333-6. </w:t>
      </w:r>
    </w:p>
    <w:p w14:paraId="34B1AE9D"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4. Zhang S, Liang Y, Chen Y, Musch DC, Zhang C, Wang N. Utility analysis of vision-related quality of life in patients with glaucoma and different perceptions from ophthalmologists. J Glaucoma. 2015;24(7):508–514.</w:t>
      </w:r>
    </w:p>
    <w:p w14:paraId="1F848C89"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5 .Zhou C, Qian S, Wu P, Qiu C. Quality of life of glaucoma patients in China: sociodemographic, clinical and psychological correlates-a cross-sectional study. Qual Life Res. 2014;23(3):999–1008. </w:t>
      </w:r>
    </w:p>
    <w:p w14:paraId="3B1032E5"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6. Khadka J, McAlinden C, Pesudovs K. Quality assessment of ophthalmic questionnaires: review and recommendations. Optom Vis Sci. 2013;90(8):720–744. </w:t>
      </w:r>
    </w:p>
    <w:p w14:paraId="777D4DD6"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7. Khadka J, McAlinden C, Gothwal VK, Lamoureux EL, Pesudovs K. The importance of rating scale design in the measurement of patient-reported outcomes using questionnaires or item banks. Invest Ophthalmol Vis Sci. 2012;53(7):4042–4054. </w:t>
      </w:r>
    </w:p>
    <w:p w14:paraId="1D1FF1FF"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8. Nelson P, Aspinall P, Papasouliotis O, Worton B, O'Brien C. Quality of life in glaucoma and its relationship with visual function. J Glaucoma. 2003;12(2):139–150. </w:t>
      </w:r>
    </w:p>
    <w:p w14:paraId="6D9382CC"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9. Khadka J, Pesudovs K, McAlinden C, Vogel M, Kernt M, Hirneiss C. Reengineering the glaucoma quality of life-15 questionnaire with rasch analysis. Invest Ophthalmol Vis Sci. 2011;52(9):6971–6977. </w:t>
      </w:r>
    </w:p>
    <w:p w14:paraId="4F0DD108"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10. Lappas A, Foerster AM, Schild AM, Rosentreter A, Dietlein TS. Quantification of subjective visual quality of life in glaucoma patients: first results of a German version of the GQL-15 questionnaire. Ophthalmologe. 2011;108(8):745–752.</w:t>
      </w:r>
    </w:p>
    <w:p w14:paraId="601902BC"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11. Zhou C, Yao J, Qian S, Wu P. Linguistic and psychometric validation of the Chinese version of the Glaucoma Quality of Life-15 (GQL-15-CHI): a cross-sectional study. Health Qual Life Outcomes. 2013;11:188. </w:t>
      </w:r>
    </w:p>
    <w:p w14:paraId="3A8AD68A"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12. Onakoya AO, Mbadugha CA, Aribaba OT, Ibidapo OO. Quality of life of primary open angle glaucoma patients in Lagos, Nigeria: clinical and sociodemographic correlates. J Glaucoma. 2012;21(5):287–295. </w:t>
      </w:r>
    </w:p>
    <w:p w14:paraId="7B5549B7"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13. Gothwal VK, Reddy SP, Bharani S, Bagga DK, Sumalini R, Garudadri CS, Rao HL, Senthil S, Pathak-Ray V, Mandal AK. Impact of glaucoma on visual functioning in Indians. Invest Ophthalmol Vis Sci. 2012;53(10):6081–6092.</w:t>
      </w:r>
    </w:p>
    <w:p w14:paraId="11F9ECAA" w14:textId="77777777" w:rsidR="0097024E" w:rsidRDefault="0097024E" w:rsidP="0097024E">
      <w:pPr>
        <w:spacing w:line="240" w:lineRule="auto"/>
        <w:jc w:val="both"/>
        <w:rPr>
          <w:rFonts w:ascii="Times New Roman" w:hAnsi="Times New Roman"/>
          <w:color w:val="000000"/>
          <w:sz w:val="20"/>
          <w:szCs w:val="20"/>
        </w:rPr>
      </w:pPr>
      <w:r>
        <w:rPr>
          <w:rFonts w:ascii="Times New Roman" w:hAnsi="Times New Roman"/>
          <w:color w:val="000000"/>
          <w:sz w:val="20"/>
          <w:szCs w:val="20"/>
        </w:rPr>
        <w:t>14. Wang B, Aung T, Marella M, Zheng Y, Wong TY, Perera S, Wong TT, Ho CL, Lamoureux EL. Impact of bilateral open and closed-angle glaucoma on glaucoma-specific functioning in Asians. J Glaucoma. 2013;22(4):330–335.</w:t>
      </w:r>
    </w:p>
    <w:p w14:paraId="72F1DEF6" w14:textId="77777777" w:rsidR="006C5B9B" w:rsidRDefault="006C5B9B"/>
    <w:sectPr w:rsidR="006C5B9B" w:rsidSect="00034616">
      <w:headerReference w:type="default" r:id="rId14"/>
      <w:footerReference w:type="default" r:id="rId15"/>
      <w:pgSz w:w="11909" w:h="16834"/>
      <w:pgMar w:top="202" w:right="605" w:bottom="230" w:left="605" w:header="72"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BD26" w14:textId="77777777" w:rsidR="000E6FE9" w:rsidRDefault="000E6FE9" w:rsidP="001F6569">
      <w:pPr>
        <w:spacing w:line="240" w:lineRule="auto"/>
      </w:pPr>
      <w:r>
        <w:separator/>
      </w:r>
    </w:p>
  </w:endnote>
  <w:endnote w:type="continuationSeparator" w:id="0">
    <w:p w14:paraId="56871669" w14:textId="77777777" w:rsidR="000E6FE9" w:rsidRDefault="000E6FE9" w:rsidP="001F6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ans Narrow">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iberation San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547"/>
      <w:gridCol w:w="9169"/>
    </w:tblGrid>
    <w:tr w:rsidR="00B1584D" w14:paraId="032179C2" w14:textId="77777777" w:rsidTr="00B1584D">
      <w:trPr>
        <w:jc w:val="center"/>
      </w:trPr>
      <w:tc>
        <w:tcPr>
          <w:tcW w:w="547" w:type="dxa"/>
          <w:tcBorders>
            <w:top w:val="nil"/>
            <w:left w:val="nil"/>
            <w:bottom w:val="nil"/>
            <w:right w:val="nil"/>
          </w:tcBorders>
          <w:tcMar>
            <w:top w:w="0" w:type="dxa"/>
            <w:left w:w="0" w:type="dxa"/>
            <w:bottom w:w="0" w:type="dxa"/>
            <w:right w:w="0" w:type="dxa"/>
          </w:tcMar>
        </w:tcPr>
        <w:p w14:paraId="361CF2CF" w14:textId="0CB18DDF" w:rsidR="00B1584D" w:rsidRDefault="001D100F" w:rsidP="00B1584D">
          <w:pPr>
            <w:spacing w:line="240" w:lineRule="auto"/>
            <w:jc w:val="center"/>
          </w:pPr>
          <w:r>
            <w:rPr>
              <w:noProof/>
            </w:rPr>
            <w:drawing>
              <wp:inline distT="0" distB="0" distL="0" distR="0" wp14:anchorId="129C4BF4" wp14:editId="111A7C00">
                <wp:extent cx="145807" cy="228600"/>
                <wp:effectExtent l="0" t="0" r="6985" b="0"/>
                <wp:docPr id="1345685111" name="Picture 2" descr="Open Access logo white blue - Free vector icons on creazill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Access logo white blue - Free vector icons on creazilla.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07" cy="228600"/>
                        </a:xfrm>
                        <a:prstGeom prst="rect">
                          <a:avLst/>
                        </a:prstGeom>
                        <a:noFill/>
                        <a:ln>
                          <a:noFill/>
                        </a:ln>
                      </pic:spPr>
                    </pic:pic>
                  </a:graphicData>
                </a:graphic>
              </wp:inline>
            </w:drawing>
          </w:r>
        </w:p>
      </w:tc>
      <w:tc>
        <w:tcPr>
          <w:tcW w:w="9169" w:type="dxa"/>
          <w:tcBorders>
            <w:top w:val="nil"/>
            <w:left w:val="nil"/>
            <w:bottom w:val="nil"/>
            <w:right w:val="nil"/>
          </w:tcBorders>
          <w:tcMar>
            <w:top w:w="0" w:type="dxa"/>
            <w:left w:w="0" w:type="dxa"/>
            <w:bottom w:w="0" w:type="dxa"/>
            <w:right w:w="0" w:type="dxa"/>
          </w:tcMar>
        </w:tcPr>
        <w:p w14:paraId="3B31CEBC" w14:textId="77777777" w:rsidR="00CF1D6C" w:rsidRPr="00F65C82" w:rsidRDefault="00CF1D6C" w:rsidP="00CF1D6C">
          <w:pPr>
            <w:spacing w:line="240" w:lineRule="auto"/>
            <w:rPr>
              <w:rFonts w:ascii="Georgia" w:eastAsia="Georgia" w:hAnsi="Georgia"/>
              <w:color w:val="006A39"/>
              <w:sz w:val="10"/>
              <w:szCs w:val="18"/>
            </w:rPr>
          </w:pPr>
        </w:p>
        <w:p w14:paraId="6590A0E8" w14:textId="0688F947" w:rsidR="00B1584D" w:rsidRDefault="00B1584D" w:rsidP="00B1584D">
          <w:pPr>
            <w:spacing w:line="240" w:lineRule="auto"/>
          </w:pPr>
          <w:r>
            <w:rPr>
              <w:rFonts w:ascii="Georgia" w:eastAsia="Georgia" w:hAnsi="Georgia"/>
              <w:color w:val="006A39"/>
              <w:sz w:val="14"/>
            </w:rPr>
            <w:t>© 202</w:t>
          </w:r>
          <w:r w:rsidR="006D3446">
            <w:rPr>
              <w:rFonts w:ascii="Georgia" w:eastAsia="Georgia" w:hAnsi="Georgia"/>
              <w:color w:val="006A39"/>
              <w:sz w:val="14"/>
            </w:rPr>
            <w:t>6</w:t>
          </w:r>
          <w:r>
            <w:rPr>
              <w:rFonts w:ascii="Georgia" w:eastAsia="Georgia" w:hAnsi="Georgia"/>
              <w:color w:val="006A39"/>
              <w:sz w:val="14"/>
            </w:rPr>
            <w:t xml:space="preserve"> et al.  Open access under CC BY License (Creative Commons). Freely distributable with appropriate citation. Health and Research Insights</w:t>
          </w:r>
        </w:p>
      </w:tc>
    </w:tr>
  </w:tbl>
  <w:sdt>
    <w:sdtPr>
      <w:id w:val="-1347176780"/>
      <w:docPartObj>
        <w:docPartGallery w:val="Page Numbers (Bottom of Page)"/>
        <w:docPartUnique/>
      </w:docPartObj>
    </w:sdtPr>
    <w:sdtEndPr>
      <w:rPr>
        <w:noProof/>
        <w:sz w:val="15"/>
        <w:szCs w:val="18"/>
      </w:rPr>
    </w:sdtEndPr>
    <w:sdtContent>
      <w:p w14:paraId="5B965A03" w14:textId="4B03C20F" w:rsidR="001F6569" w:rsidRPr="00A548A4" w:rsidRDefault="00B1584D" w:rsidP="00B1584D">
        <w:pPr>
          <w:pStyle w:val="Footer"/>
          <w:jc w:val="right"/>
          <w:rPr>
            <w:sz w:val="15"/>
            <w:szCs w:val="18"/>
          </w:rPr>
        </w:pPr>
        <w:r w:rsidRPr="00A548A4">
          <w:rPr>
            <w:sz w:val="15"/>
            <w:szCs w:val="18"/>
          </w:rPr>
          <w:fldChar w:fldCharType="begin"/>
        </w:r>
        <w:r w:rsidRPr="00A548A4">
          <w:rPr>
            <w:sz w:val="15"/>
            <w:szCs w:val="18"/>
          </w:rPr>
          <w:instrText xml:space="preserve"> PAGE   \* MERGEFORMAT </w:instrText>
        </w:r>
        <w:r w:rsidRPr="00A548A4">
          <w:rPr>
            <w:sz w:val="15"/>
            <w:szCs w:val="18"/>
          </w:rPr>
          <w:fldChar w:fldCharType="separate"/>
        </w:r>
        <w:r w:rsidRPr="00A548A4">
          <w:rPr>
            <w:noProof/>
            <w:sz w:val="15"/>
            <w:szCs w:val="18"/>
          </w:rPr>
          <w:t>2</w:t>
        </w:r>
        <w:r w:rsidRPr="00A548A4">
          <w:rPr>
            <w:noProof/>
            <w:sz w:val="15"/>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64847" w14:textId="77777777" w:rsidR="000E6FE9" w:rsidRDefault="000E6FE9" w:rsidP="001F6569">
      <w:pPr>
        <w:spacing w:line="240" w:lineRule="auto"/>
      </w:pPr>
      <w:r>
        <w:separator/>
      </w:r>
    </w:p>
  </w:footnote>
  <w:footnote w:type="continuationSeparator" w:id="0">
    <w:p w14:paraId="0620391F" w14:textId="77777777" w:rsidR="000E6FE9" w:rsidRDefault="000E6FE9" w:rsidP="001F6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2EF7" w14:textId="77777777" w:rsidR="008A1960" w:rsidRDefault="008A1960">
    <w:pPr>
      <w:pStyle w:val="Header"/>
    </w:pPr>
  </w:p>
  <w:tbl>
    <w:tblPr>
      <w:tblW w:w="0" w:type="auto"/>
      <w:jc w:val="center"/>
      <w:tblLayout w:type="fixed"/>
      <w:tblLook w:val="04A0" w:firstRow="1" w:lastRow="0" w:firstColumn="1" w:lastColumn="0" w:noHBand="0" w:noVBand="1"/>
    </w:tblPr>
    <w:tblGrid>
      <w:gridCol w:w="4680"/>
      <w:gridCol w:w="172"/>
      <w:gridCol w:w="2088"/>
      <w:gridCol w:w="3758"/>
    </w:tblGrid>
    <w:tr w:rsidR="008A1960" w14:paraId="53B78FB7" w14:textId="77777777" w:rsidTr="00D9092C">
      <w:trPr>
        <w:trHeight w:hRule="exact" w:val="110"/>
        <w:jc w:val="center"/>
      </w:trPr>
      <w:tc>
        <w:tcPr>
          <w:tcW w:w="4680" w:type="dxa"/>
          <w:tcBorders>
            <w:top w:val="nil"/>
            <w:left w:val="nil"/>
            <w:bottom w:val="nil"/>
            <w:right w:val="nil"/>
          </w:tcBorders>
          <w:shd w:val="clear" w:color="auto" w:fill="257DD5"/>
          <w:tcMar>
            <w:top w:w="0" w:type="dxa"/>
            <w:left w:w="0" w:type="dxa"/>
            <w:bottom w:w="0" w:type="dxa"/>
            <w:right w:w="0" w:type="dxa"/>
          </w:tcMar>
        </w:tcPr>
        <w:p w14:paraId="0F8CEDB1" w14:textId="77777777" w:rsidR="008A1960" w:rsidRDefault="008A1960" w:rsidP="008A1960"/>
      </w:tc>
      <w:tc>
        <w:tcPr>
          <w:tcW w:w="172" w:type="dxa"/>
          <w:tcBorders>
            <w:top w:val="nil"/>
            <w:left w:val="nil"/>
            <w:bottom w:val="nil"/>
            <w:right w:val="nil"/>
          </w:tcBorders>
          <w:shd w:val="clear" w:color="auto" w:fill="FFFFFF"/>
          <w:tcMar>
            <w:top w:w="0" w:type="dxa"/>
            <w:left w:w="0" w:type="dxa"/>
            <w:bottom w:w="0" w:type="dxa"/>
            <w:right w:w="0" w:type="dxa"/>
          </w:tcMar>
        </w:tcPr>
        <w:p w14:paraId="2C87546D" w14:textId="77777777" w:rsidR="008A1960" w:rsidRDefault="008A1960" w:rsidP="008A1960"/>
      </w:tc>
      <w:tc>
        <w:tcPr>
          <w:tcW w:w="5846" w:type="dxa"/>
          <w:gridSpan w:val="2"/>
          <w:tcBorders>
            <w:top w:val="nil"/>
            <w:left w:val="nil"/>
            <w:bottom w:val="nil"/>
            <w:right w:val="nil"/>
          </w:tcBorders>
          <w:shd w:val="clear" w:color="auto" w:fill="006A39"/>
          <w:tcMar>
            <w:top w:w="0" w:type="dxa"/>
            <w:left w:w="0" w:type="dxa"/>
            <w:bottom w:w="0" w:type="dxa"/>
            <w:right w:w="0" w:type="dxa"/>
          </w:tcMar>
        </w:tcPr>
        <w:p w14:paraId="5EBEAB1E" w14:textId="77777777" w:rsidR="008A1960" w:rsidRDefault="008A1960" w:rsidP="008A1960"/>
      </w:tc>
    </w:tr>
    <w:tr w:rsidR="008A1960" w14:paraId="541CD866" w14:textId="77777777" w:rsidTr="00D9092C">
      <w:trPr>
        <w:jc w:val="center"/>
      </w:trPr>
      <w:tc>
        <w:tcPr>
          <w:tcW w:w="6940" w:type="dxa"/>
          <w:gridSpan w:val="3"/>
          <w:tcBorders>
            <w:right w:val="single" w:sz="10" w:space="0" w:color="777777"/>
          </w:tcBorders>
          <w:tcMar>
            <w:top w:w="120" w:type="dxa"/>
            <w:left w:w="0" w:type="dxa"/>
            <w:bottom w:w="55" w:type="dxa"/>
            <w:right w:w="135" w:type="dxa"/>
          </w:tcMar>
          <w:vAlign w:val="center"/>
        </w:tcPr>
        <w:p w14:paraId="441135F3" w14:textId="77777777" w:rsidR="008A1960" w:rsidRDefault="008A1960" w:rsidP="008A1960">
          <w:pPr>
            <w:spacing w:line="24" w:lineRule="auto"/>
          </w:pPr>
        </w:p>
        <w:tbl>
          <w:tblPr>
            <w:tblW w:w="0" w:type="auto"/>
            <w:tblLayout w:type="fixed"/>
            <w:tblLook w:val="04A0" w:firstRow="1" w:lastRow="0" w:firstColumn="1" w:lastColumn="0" w:noHBand="0" w:noVBand="1"/>
          </w:tblPr>
          <w:tblGrid>
            <w:gridCol w:w="1800"/>
            <w:gridCol w:w="4968"/>
          </w:tblGrid>
          <w:tr w:rsidR="008A1960" w14:paraId="152B5B01" w14:textId="77777777" w:rsidTr="00D9092C">
            <w:tc>
              <w:tcPr>
                <w:tcW w:w="1800" w:type="dxa"/>
                <w:tcBorders>
                  <w:top w:val="nil"/>
                  <w:left w:val="nil"/>
                  <w:bottom w:val="nil"/>
                  <w:right w:val="nil"/>
                </w:tcBorders>
                <w:tcMar>
                  <w:top w:w="0" w:type="dxa"/>
                  <w:left w:w="0" w:type="dxa"/>
                  <w:bottom w:w="0" w:type="dxa"/>
                  <w:right w:w="0" w:type="dxa"/>
                </w:tcMar>
              </w:tcPr>
              <w:p w14:paraId="634F7647" w14:textId="77777777" w:rsidR="008A1960" w:rsidRDefault="008A1960" w:rsidP="008A1960">
                <w:pPr>
                  <w:spacing w:line="240" w:lineRule="auto"/>
                  <w:jc w:val="center"/>
                </w:pPr>
                <w:r>
                  <w:rPr>
                    <w:noProof/>
                  </w:rPr>
                  <w:drawing>
                    <wp:inline distT="0" distB="0" distL="0" distR="0" wp14:anchorId="71A6938C" wp14:editId="1E77618A">
                      <wp:extent cx="636104" cy="690406"/>
                      <wp:effectExtent l="0" t="0" r="0" b="0"/>
                      <wp:docPr id="172542678" name="Picture 17254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hr_logo_mark.png"/>
                              <pic:cNvPicPr/>
                            </pic:nvPicPr>
                            <pic:blipFill>
                              <a:blip r:embed="rId1"/>
                              <a:stretch>
                                <a:fillRect/>
                              </a:stretch>
                            </pic:blipFill>
                            <pic:spPr>
                              <a:xfrm>
                                <a:off x="0" y="0"/>
                                <a:ext cx="636104" cy="690406"/>
                              </a:xfrm>
                              <a:prstGeom prst="rect">
                                <a:avLst/>
                              </a:prstGeom>
                            </pic:spPr>
                          </pic:pic>
                        </a:graphicData>
                      </a:graphic>
                    </wp:inline>
                  </w:drawing>
                </w:r>
              </w:p>
            </w:tc>
            <w:tc>
              <w:tcPr>
                <w:tcW w:w="4968" w:type="dxa"/>
                <w:tcBorders>
                  <w:top w:val="nil"/>
                  <w:left w:val="nil"/>
                  <w:bottom w:val="nil"/>
                  <w:right w:val="nil"/>
                </w:tcBorders>
                <w:tcMar>
                  <w:top w:w="50" w:type="dxa"/>
                  <w:left w:w="40" w:type="dxa"/>
                  <w:bottom w:w="0" w:type="dxa"/>
                  <w:right w:w="0" w:type="dxa"/>
                </w:tcMar>
              </w:tcPr>
              <w:p w14:paraId="7A797B2C" w14:textId="77777777" w:rsidR="008A1960" w:rsidRDefault="008A1960" w:rsidP="008A1960">
                <w:pPr>
                  <w:spacing w:line="216" w:lineRule="auto"/>
                </w:pPr>
                <w:r>
                  <w:rPr>
                    <w:rFonts w:ascii="Liberation Sans Narrow" w:eastAsia="Liberation Sans Narrow" w:hAnsi="Liberation Sans Narrow"/>
                    <w:b/>
                    <w:color w:val="006A39"/>
                    <w:sz w:val="51"/>
                  </w:rPr>
                  <w:t>INSIGHTS-IJHR</w:t>
                </w:r>
              </w:p>
              <w:p w14:paraId="21775114" w14:textId="77777777" w:rsidR="008A1960" w:rsidRDefault="008A1960" w:rsidP="008A1960">
                <w:pPr>
                  <w:spacing w:line="228" w:lineRule="auto"/>
                </w:pPr>
                <w:r>
                  <w:rPr>
                    <w:rFonts w:ascii="Liberation Sans" w:eastAsia="Liberation Sans" w:hAnsi="Liberation Sans"/>
                    <w:color w:val="111111"/>
                    <w:sz w:val="25"/>
                  </w:rPr>
                  <w:t>INSIGHTS-JOURNAL OF</w:t>
                </w:r>
              </w:p>
              <w:p w14:paraId="796E3D1C" w14:textId="77777777" w:rsidR="008A1960" w:rsidRDefault="008A1960" w:rsidP="008A1960">
                <w:pPr>
                  <w:spacing w:line="228" w:lineRule="auto"/>
                </w:pPr>
                <w:r>
                  <w:rPr>
                    <w:rFonts w:ascii="Liberation Sans" w:eastAsia="Liberation Sans" w:hAnsi="Liberation Sans"/>
                    <w:color w:val="111111"/>
                    <w:sz w:val="25"/>
                  </w:rPr>
                  <w:t>HEALTH AND REHABILITATION</w:t>
                </w:r>
              </w:p>
            </w:tc>
          </w:tr>
        </w:tbl>
        <w:p w14:paraId="3B4EE458" w14:textId="77777777" w:rsidR="008A1960" w:rsidRDefault="008A1960" w:rsidP="008A1960"/>
      </w:tc>
      <w:tc>
        <w:tcPr>
          <w:tcW w:w="3758" w:type="dxa"/>
          <w:tcBorders>
            <w:top w:val="nil"/>
            <w:left w:val="nil"/>
            <w:bottom w:val="nil"/>
            <w:right w:val="nil"/>
          </w:tcBorders>
          <w:tcMar>
            <w:top w:w="160" w:type="dxa"/>
            <w:left w:w="180" w:type="dxa"/>
            <w:bottom w:w="60" w:type="dxa"/>
            <w:right w:w="0" w:type="dxa"/>
          </w:tcMar>
        </w:tcPr>
        <w:p w14:paraId="5C9AD989" w14:textId="77777777" w:rsidR="008A1960" w:rsidRDefault="008A1960" w:rsidP="008A1960">
          <w:pPr>
            <w:spacing w:line="24" w:lineRule="auto"/>
          </w:pPr>
        </w:p>
        <w:tbl>
          <w:tblPr>
            <w:tblW w:w="0" w:type="auto"/>
            <w:tblLayout w:type="fixed"/>
            <w:tblLook w:val="04A0" w:firstRow="1" w:lastRow="0" w:firstColumn="1" w:lastColumn="0" w:noHBand="0" w:noVBand="1"/>
          </w:tblPr>
          <w:tblGrid>
            <w:gridCol w:w="3758"/>
          </w:tblGrid>
          <w:tr w:rsidR="008A1960" w14:paraId="5BF1F3A2" w14:textId="77777777" w:rsidTr="00D9092C">
            <w:tc>
              <w:tcPr>
                <w:tcW w:w="3758" w:type="dxa"/>
                <w:tcBorders>
                  <w:top w:val="single" w:sz="2" w:space="0" w:color="257DD5"/>
                  <w:left w:val="single" w:sz="2" w:space="0" w:color="257DD5"/>
                  <w:bottom w:val="single" w:sz="2" w:space="0" w:color="257DD5"/>
                  <w:right w:val="single" w:sz="2" w:space="0" w:color="257DD5"/>
                </w:tcBorders>
                <w:shd w:val="clear" w:color="auto" w:fill="257DD5"/>
                <w:tcMar>
                  <w:top w:w="80" w:type="dxa"/>
                  <w:left w:w="80" w:type="dxa"/>
                  <w:bottom w:w="80" w:type="dxa"/>
                  <w:right w:w="80" w:type="dxa"/>
                </w:tcMar>
              </w:tcPr>
              <w:p w14:paraId="3B98473E" w14:textId="77777777" w:rsidR="008A1960" w:rsidRDefault="008A1960" w:rsidP="008A1960">
                <w:pPr>
                  <w:spacing w:line="240" w:lineRule="auto"/>
                  <w:jc w:val="center"/>
                </w:pPr>
                <w:r>
                  <w:rPr>
                    <w:b/>
                    <w:color w:val="FFFFFF"/>
                    <w:sz w:val="21"/>
                  </w:rPr>
                  <w:t>▣  ORIGINAL RESEARCH</w:t>
                </w:r>
              </w:p>
            </w:tc>
          </w:tr>
        </w:tbl>
        <w:p w14:paraId="6C1C6D15" w14:textId="77777777" w:rsidR="008A1960" w:rsidRDefault="008A1960" w:rsidP="008A1960"/>
        <w:p w14:paraId="1991B9AA" w14:textId="29C14A88" w:rsidR="008A1960" w:rsidRDefault="008A1960" w:rsidP="008A1960">
          <w:pPr>
            <w:spacing w:before="120" w:after="40" w:line="240" w:lineRule="auto"/>
            <w:jc w:val="center"/>
          </w:pPr>
          <w:r>
            <w:rPr>
              <w:rFonts w:ascii="Times New Roman" w:eastAsia="Times New Roman" w:hAnsi="Times New Roman"/>
              <w:color w:val="111111"/>
            </w:rPr>
            <w:t xml:space="preserve">Volume 4   |   Issue </w:t>
          </w:r>
          <w:r w:rsidR="009A3225">
            <w:rPr>
              <w:rFonts w:ascii="Times New Roman" w:eastAsia="Times New Roman" w:hAnsi="Times New Roman"/>
              <w:color w:val="111111"/>
            </w:rPr>
            <w:t>3</w:t>
          </w:r>
          <w:r>
            <w:rPr>
              <w:rFonts w:ascii="Times New Roman" w:eastAsia="Times New Roman" w:hAnsi="Times New Roman"/>
              <w:color w:val="111111"/>
            </w:rPr>
            <w:t xml:space="preserve">   |   202</w:t>
          </w:r>
          <w:r w:rsidR="00E7297F">
            <w:rPr>
              <w:rFonts w:ascii="Times New Roman" w:eastAsia="Times New Roman" w:hAnsi="Times New Roman"/>
              <w:color w:val="111111"/>
            </w:rPr>
            <w:t>6</w:t>
          </w:r>
        </w:p>
        <w:p w14:paraId="068C6C21" w14:textId="77777777" w:rsidR="008A1960" w:rsidRDefault="008A1960" w:rsidP="008A1960">
          <w:pPr>
            <w:spacing w:before="20" w:after="40" w:line="240" w:lineRule="auto"/>
            <w:jc w:val="center"/>
          </w:pPr>
          <w:r>
            <w:rPr>
              <w:rFonts w:ascii="Times New Roman" w:eastAsia="Times New Roman" w:hAnsi="Times New Roman"/>
              <w:color w:val="111111"/>
            </w:rPr>
            <w:t>ISSN: 3007-2948</w:t>
          </w:r>
        </w:p>
      </w:tc>
    </w:tr>
  </w:tbl>
  <w:p w14:paraId="5AE49DF7" w14:textId="77777777" w:rsidR="008A1960" w:rsidRDefault="008A1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6E3E4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126286">
    <w:abstractNumId w:val="8"/>
  </w:num>
  <w:num w:numId="2" w16cid:durableId="52194859">
    <w:abstractNumId w:val="6"/>
  </w:num>
  <w:num w:numId="3" w16cid:durableId="702483030">
    <w:abstractNumId w:val="5"/>
  </w:num>
  <w:num w:numId="4" w16cid:durableId="816191920">
    <w:abstractNumId w:val="4"/>
  </w:num>
  <w:num w:numId="5" w16cid:durableId="704721682">
    <w:abstractNumId w:val="7"/>
  </w:num>
  <w:num w:numId="6" w16cid:durableId="1253318109">
    <w:abstractNumId w:val="3"/>
  </w:num>
  <w:num w:numId="7" w16cid:durableId="2042391418">
    <w:abstractNumId w:val="2"/>
  </w:num>
  <w:num w:numId="8" w16cid:durableId="1293830142">
    <w:abstractNumId w:val="1"/>
  </w:num>
  <w:num w:numId="9" w16cid:durableId="1698308809">
    <w:abstractNumId w:val="0"/>
  </w:num>
  <w:num w:numId="10" w16cid:durableId="1169831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041"/>
    <w:rsid w:val="00034616"/>
    <w:rsid w:val="0006063C"/>
    <w:rsid w:val="000E6FE9"/>
    <w:rsid w:val="000F409F"/>
    <w:rsid w:val="00101FB6"/>
    <w:rsid w:val="0015074B"/>
    <w:rsid w:val="00172F0F"/>
    <w:rsid w:val="001B0215"/>
    <w:rsid w:val="001C5812"/>
    <w:rsid w:val="001D100F"/>
    <w:rsid w:val="001E0E67"/>
    <w:rsid w:val="001F6569"/>
    <w:rsid w:val="0024752D"/>
    <w:rsid w:val="0029639D"/>
    <w:rsid w:val="0031045C"/>
    <w:rsid w:val="00321699"/>
    <w:rsid w:val="00322659"/>
    <w:rsid w:val="00322839"/>
    <w:rsid w:val="00326F90"/>
    <w:rsid w:val="003633EC"/>
    <w:rsid w:val="00364B58"/>
    <w:rsid w:val="00397A1E"/>
    <w:rsid w:val="003C413C"/>
    <w:rsid w:val="0049199E"/>
    <w:rsid w:val="004A53A2"/>
    <w:rsid w:val="004B08F5"/>
    <w:rsid w:val="004F13A4"/>
    <w:rsid w:val="004F5DCB"/>
    <w:rsid w:val="004F6109"/>
    <w:rsid w:val="005141BF"/>
    <w:rsid w:val="00515A0B"/>
    <w:rsid w:val="00517E0C"/>
    <w:rsid w:val="0052206A"/>
    <w:rsid w:val="00523E3C"/>
    <w:rsid w:val="00526C84"/>
    <w:rsid w:val="005442C4"/>
    <w:rsid w:val="00575C9F"/>
    <w:rsid w:val="0058133A"/>
    <w:rsid w:val="00595923"/>
    <w:rsid w:val="005A629A"/>
    <w:rsid w:val="005B40BA"/>
    <w:rsid w:val="005C0018"/>
    <w:rsid w:val="005D4141"/>
    <w:rsid w:val="005F1871"/>
    <w:rsid w:val="00607850"/>
    <w:rsid w:val="00613F7D"/>
    <w:rsid w:val="00616205"/>
    <w:rsid w:val="006173C6"/>
    <w:rsid w:val="00624B95"/>
    <w:rsid w:val="006C5B9B"/>
    <w:rsid w:val="006D3446"/>
    <w:rsid w:val="006E153C"/>
    <w:rsid w:val="00757D3A"/>
    <w:rsid w:val="0076261A"/>
    <w:rsid w:val="007A58D5"/>
    <w:rsid w:val="007C0BB9"/>
    <w:rsid w:val="00860718"/>
    <w:rsid w:val="0087156A"/>
    <w:rsid w:val="008A1960"/>
    <w:rsid w:val="008A4F0C"/>
    <w:rsid w:val="008B529C"/>
    <w:rsid w:val="008E52D5"/>
    <w:rsid w:val="008F5632"/>
    <w:rsid w:val="0094501F"/>
    <w:rsid w:val="00946182"/>
    <w:rsid w:val="0097024E"/>
    <w:rsid w:val="0097137D"/>
    <w:rsid w:val="00980131"/>
    <w:rsid w:val="009A3225"/>
    <w:rsid w:val="009A7029"/>
    <w:rsid w:val="009A7191"/>
    <w:rsid w:val="009E2C59"/>
    <w:rsid w:val="00A548A4"/>
    <w:rsid w:val="00AA1D8D"/>
    <w:rsid w:val="00AF53AF"/>
    <w:rsid w:val="00B04782"/>
    <w:rsid w:val="00B1584D"/>
    <w:rsid w:val="00B47730"/>
    <w:rsid w:val="00B5741A"/>
    <w:rsid w:val="00BF0922"/>
    <w:rsid w:val="00BF0D93"/>
    <w:rsid w:val="00BF54D9"/>
    <w:rsid w:val="00C60675"/>
    <w:rsid w:val="00C633E0"/>
    <w:rsid w:val="00CB0664"/>
    <w:rsid w:val="00CE1359"/>
    <w:rsid w:val="00CF1D6C"/>
    <w:rsid w:val="00D52B19"/>
    <w:rsid w:val="00D71383"/>
    <w:rsid w:val="00DB5B63"/>
    <w:rsid w:val="00DD3158"/>
    <w:rsid w:val="00E301A7"/>
    <w:rsid w:val="00E3690D"/>
    <w:rsid w:val="00E7297F"/>
    <w:rsid w:val="00EE7B7C"/>
    <w:rsid w:val="00EF68B8"/>
    <w:rsid w:val="00F025E6"/>
    <w:rsid w:val="00F077E5"/>
    <w:rsid w:val="00F65C82"/>
    <w:rsid w:val="00FC52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87E145"/>
  <w14:defaultImageDpi w14:val="300"/>
  <w15:docId w15:val="{1B2E317C-A30F-40D9-8885-84F0DA1C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line="240" w:lineRule="auto"/>
    </w:pPr>
  </w:style>
  <w:style w:type="character" w:customStyle="1" w:styleId="FooterChar">
    <w:name w:val="Foote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nhideWhenUsed/>
    <w:qFormat/>
    <w:rsid w:val="00AA1D8D"/>
    <w:pPr>
      <w:spacing w:after="120"/>
    </w:pPr>
  </w:style>
  <w:style w:type="character" w:customStyle="1" w:styleId="BodyTextChar">
    <w:name w:val="Body Text Char"/>
    <w:basedOn w:val="DefaultParagraphFont"/>
    <w:link w:val="BodyText"/>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rsid w:val="0097024E"/>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6797</Words>
  <Characters>38745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Editable IJHR Article First Page</dc:title>
  <dc:subject>Recreated editable Word layout from supplied journal page image</dc:subject>
  <dc:creator>Health and Research Insights</dc:creator>
  <cp:keywords/>
  <dc:description>generated by python-docx</dc:description>
  <cp:lastModifiedBy>Hafiz Sheraz Arshad</cp:lastModifiedBy>
  <cp:revision>89</cp:revision>
  <cp:lastPrinted>2026-08-05T21:28:00Z</cp:lastPrinted>
  <dcterms:created xsi:type="dcterms:W3CDTF">2013-12-23T23:15:00Z</dcterms:created>
  <dcterms:modified xsi:type="dcterms:W3CDTF">2026-08-06T10:34:00Z</dcterms:modified>
  <cp:category/>
</cp:coreProperties>
</file>